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040" w:type="dxa"/>
        <w:tblLook w:val="04A0" w:firstRow="1" w:lastRow="0" w:firstColumn="1" w:lastColumn="0" w:noHBand="0" w:noVBand="1"/>
      </w:tblPr>
      <w:tblGrid>
        <w:gridCol w:w="1134"/>
        <w:gridCol w:w="5766"/>
        <w:gridCol w:w="2800"/>
        <w:gridCol w:w="3340"/>
      </w:tblGrid>
      <w:tr w:rsidR="00637AB3" w:rsidRPr="00F905F4" w14:paraId="0B7532AC" w14:textId="77777777" w:rsidTr="0092712D">
        <w:trPr>
          <w:trHeight w:val="300"/>
        </w:trPr>
        <w:tc>
          <w:tcPr>
            <w:tcW w:w="13040" w:type="dxa"/>
            <w:gridSpan w:val="4"/>
            <w:tcBorders>
              <w:bottom w:val="single" w:sz="4" w:space="0" w:color="auto"/>
            </w:tcBorders>
            <w:noWrap/>
            <w:vAlign w:val="center"/>
          </w:tcPr>
          <w:p w14:paraId="4F8E5BD4"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8"/>
                <w:szCs w:val="28"/>
                <w:lang w:val="en-IE" w:eastAsia="en-IE"/>
                <w14:ligatures w14:val="none"/>
              </w:rPr>
            </w:pPr>
            <w:r w:rsidRPr="00F905F4">
              <w:rPr>
                <w:rFonts w:ascii="Times New Roman" w:eastAsia="Times New Roman" w:hAnsi="Times New Roman" w:cs="Times New Roman"/>
                <w:b/>
                <w:bCs/>
                <w:color w:val="000000"/>
                <w:kern w:val="0"/>
                <w:sz w:val="28"/>
                <w:szCs w:val="28"/>
                <w:lang w:val="en-IE" w:eastAsia="en-IE"/>
                <w14:ligatures w14:val="none"/>
              </w:rPr>
              <w:t>Annex IV - Compliance Checklist</w:t>
            </w:r>
          </w:p>
          <w:p w14:paraId="5EEB7F08" w14:textId="6A3CBBA2"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p>
        </w:tc>
      </w:tr>
      <w:tr w:rsidR="00637AB3" w:rsidRPr="00F905F4" w14:paraId="61499357" w14:textId="77777777" w:rsidTr="0092712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83CAEB" w:themeFill="accent1" w:themeFillTint="66"/>
            <w:noWrap/>
            <w:vAlign w:val="center"/>
            <w:hideMark/>
          </w:tcPr>
          <w:p w14:paraId="3ED4F1C9" w14:textId="44370B16" w:rsidR="00637AB3"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367599">
              <w:rPr>
                <w:rFonts w:ascii="Times New Roman" w:eastAsia="Times New Roman" w:hAnsi="Times New Roman" w:cs="Times New Roman"/>
                <w:b/>
                <w:bCs/>
                <w:color w:val="000000"/>
                <w:kern w:val="0"/>
                <w:sz w:val="24"/>
                <w:szCs w:val="24"/>
                <w:lang w:val="en-IE" w:eastAsia="en-IE"/>
                <w14:ligatures w14:val="none"/>
              </w:rPr>
              <w:t> </w:t>
            </w:r>
            <w:r w:rsidR="00B30F82" w:rsidRPr="00367599">
              <w:rPr>
                <w:rFonts w:ascii="Times New Roman" w:eastAsia="Times New Roman" w:hAnsi="Times New Roman" w:cs="Times New Roman"/>
                <w:b/>
                <w:bCs/>
                <w:color w:val="000000"/>
                <w:kern w:val="0"/>
                <w:sz w:val="24"/>
                <w:szCs w:val="24"/>
                <w:lang w:val="en-IE" w:eastAsia="en-IE"/>
                <w14:ligatures w14:val="none"/>
              </w:rPr>
              <w:t>No</w:t>
            </w:r>
            <w:r w:rsidR="00367599">
              <w:rPr>
                <w:rFonts w:ascii="Times New Roman" w:eastAsia="Times New Roman" w:hAnsi="Times New Roman" w:cs="Times New Roman"/>
                <w:b/>
                <w:bCs/>
                <w:color w:val="000000"/>
                <w:kern w:val="0"/>
                <w:sz w:val="24"/>
                <w:szCs w:val="24"/>
                <w:lang w:val="en-IE" w:eastAsia="en-IE"/>
                <w14:ligatures w14:val="none"/>
              </w:rPr>
              <w:t>.</w:t>
            </w:r>
            <w:r w:rsidR="00B30F82" w:rsidRPr="00367599">
              <w:rPr>
                <w:rFonts w:ascii="Times New Roman" w:eastAsia="Times New Roman" w:hAnsi="Times New Roman" w:cs="Times New Roman"/>
                <w:b/>
                <w:bCs/>
                <w:color w:val="000000"/>
                <w:kern w:val="0"/>
                <w:sz w:val="24"/>
                <w:szCs w:val="24"/>
                <w:lang w:val="en-IE" w:eastAsia="en-IE"/>
                <w14:ligatures w14:val="none"/>
              </w:rPr>
              <w:t xml:space="preserve"> </w:t>
            </w:r>
          </w:p>
          <w:p w14:paraId="6B3C774D" w14:textId="17E002C6" w:rsidR="00367599" w:rsidRPr="00367599" w:rsidRDefault="00367599"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p>
        </w:tc>
        <w:tc>
          <w:tcPr>
            <w:tcW w:w="5766" w:type="dxa"/>
            <w:tcBorders>
              <w:top w:val="single" w:sz="4" w:space="0" w:color="auto"/>
              <w:left w:val="nil"/>
              <w:bottom w:val="single" w:sz="4" w:space="0" w:color="auto"/>
              <w:right w:val="single" w:sz="4" w:space="0" w:color="auto"/>
            </w:tcBorders>
            <w:shd w:val="clear" w:color="auto" w:fill="83CAEB" w:themeFill="accent1" w:themeFillTint="66"/>
            <w:vAlign w:val="center"/>
            <w:hideMark/>
          </w:tcPr>
          <w:p w14:paraId="1D0B232B"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Requirements</w:t>
            </w:r>
          </w:p>
          <w:p w14:paraId="09B9BAC1"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p>
        </w:tc>
        <w:tc>
          <w:tcPr>
            <w:tcW w:w="2800" w:type="dxa"/>
            <w:tcBorders>
              <w:top w:val="single" w:sz="4" w:space="0" w:color="auto"/>
              <w:left w:val="nil"/>
              <w:bottom w:val="single" w:sz="4" w:space="0" w:color="auto"/>
              <w:right w:val="single" w:sz="4" w:space="0" w:color="auto"/>
            </w:tcBorders>
            <w:shd w:val="clear" w:color="auto" w:fill="83CAEB" w:themeFill="accent1" w:themeFillTint="66"/>
            <w:noWrap/>
            <w:vAlign w:val="center"/>
            <w:hideMark/>
          </w:tcPr>
          <w:p w14:paraId="355C3617"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Compliance (Yes/No)</w:t>
            </w:r>
          </w:p>
          <w:p w14:paraId="353E3722"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p>
        </w:tc>
        <w:tc>
          <w:tcPr>
            <w:tcW w:w="3340" w:type="dxa"/>
            <w:tcBorders>
              <w:top w:val="single" w:sz="4" w:space="0" w:color="auto"/>
              <w:left w:val="nil"/>
              <w:bottom w:val="single" w:sz="4" w:space="0" w:color="auto"/>
              <w:right w:val="single" w:sz="4" w:space="0" w:color="auto"/>
            </w:tcBorders>
            <w:shd w:val="clear" w:color="auto" w:fill="83CAEB" w:themeFill="accent1" w:themeFillTint="66"/>
            <w:noWrap/>
            <w:vAlign w:val="center"/>
            <w:hideMark/>
          </w:tcPr>
          <w:p w14:paraId="0F7ABC3C"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Comments</w:t>
            </w:r>
          </w:p>
          <w:p w14:paraId="2ED5F5F5" w14:textId="77777777" w:rsidR="00637AB3" w:rsidRPr="00F905F4" w:rsidRDefault="00637AB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p>
        </w:tc>
      </w:tr>
      <w:tr w:rsidR="00136550" w:rsidRPr="00F905F4" w14:paraId="165FD41B" w14:textId="77777777" w:rsidTr="0092712D">
        <w:trPr>
          <w:trHeight w:val="300"/>
        </w:trPr>
        <w:tc>
          <w:tcPr>
            <w:tcW w:w="1134"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5EA65A8D" w14:textId="77777777" w:rsidR="00136550" w:rsidRPr="00F905F4" w:rsidRDefault="00136550"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1</w:t>
            </w:r>
          </w:p>
        </w:tc>
        <w:tc>
          <w:tcPr>
            <w:tcW w:w="11906" w:type="dxa"/>
            <w:gridSpan w:val="3"/>
            <w:tcBorders>
              <w:top w:val="nil"/>
              <w:left w:val="nil"/>
              <w:bottom w:val="single" w:sz="4" w:space="0" w:color="auto"/>
              <w:right w:val="single" w:sz="4" w:space="0" w:color="auto"/>
            </w:tcBorders>
            <w:shd w:val="clear" w:color="auto" w:fill="C1E4F5" w:themeFill="accent1" w:themeFillTint="33"/>
            <w:vAlign w:val="center"/>
            <w:hideMark/>
          </w:tcPr>
          <w:p w14:paraId="4A6FCB59" w14:textId="6B96C5E1" w:rsidR="00136550" w:rsidRPr="00F905F4" w:rsidRDefault="0013655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ADEQUACY</w:t>
            </w:r>
            <w:r w:rsidRPr="00F905F4">
              <w:rPr>
                <w:rFonts w:ascii="Times New Roman" w:eastAsia="Times New Roman" w:hAnsi="Times New Roman" w:cs="Times New Roman"/>
                <w:color w:val="000000"/>
                <w:kern w:val="0"/>
                <w:sz w:val="24"/>
                <w:szCs w:val="24"/>
                <w:lang w:val="en-IE" w:eastAsia="en-IE"/>
                <w14:ligatures w14:val="none"/>
              </w:rPr>
              <w:t> </w:t>
            </w:r>
          </w:p>
          <w:p w14:paraId="12A31B6D" w14:textId="77777777" w:rsidR="00136550" w:rsidRPr="00F905F4" w:rsidRDefault="0013655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r>
      <w:tr w:rsidR="00E017E5" w:rsidRPr="00F905F4" w14:paraId="298318B4" w14:textId="77777777" w:rsidTr="0092712D">
        <w:trPr>
          <w:trHeight w:val="300"/>
        </w:trPr>
        <w:tc>
          <w:tcPr>
            <w:tcW w:w="1134" w:type="dxa"/>
            <w:tcBorders>
              <w:top w:val="nil"/>
              <w:left w:val="single" w:sz="4" w:space="0" w:color="auto"/>
              <w:bottom w:val="single" w:sz="4" w:space="0" w:color="auto"/>
              <w:right w:val="single" w:sz="4" w:space="0" w:color="auto"/>
            </w:tcBorders>
            <w:shd w:val="clear" w:color="auto" w:fill="C1E4F5" w:themeFill="accent1" w:themeFillTint="33"/>
            <w:noWrap/>
            <w:vAlign w:val="center"/>
            <w:hideMark/>
          </w:tcPr>
          <w:p w14:paraId="7558C96D" w14:textId="77777777" w:rsidR="00E017E5" w:rsidRPr="00F905F4" w:rsidRDefault="00E017E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1.1</w:t>
            </w:r>
          </w:p>
        </w:tc>
        <w:tc>
          <w:tcPr>
            <w:tcW w:w="11906" w:type="dxa"/>
            <w:gridSpan w:val="3"/>
            <w:tcBorders>
              <w:top w:val="nil"/>
              <w:left w:val="nil"/>
              <w:bottom w:val="single" w:sz="4" w:space="0" w:color="auto"/>
              <w:right w:val="single" w:sz="4" w:space="0" w:color="auto"/>
            </w:tcBorders>
            <w:shd w:val="clear" w:color="auto" w:fill="C1E4F5" w:themeFill="accent1" w:themeFillTint="33"/>
            <w:vAlign w:val="center"/>
            <w:hideMark/>
          </w:tcPr>
          <w:p w14:paraId="5A173FC1" w14:textId="08972361" w:rsidR="00E017E5" w:rsidRPr="00F905F4" w:rsidRDefault="00E017E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color w:val="000000"/>
                <w:kern w:val="0"/>
                <w:sz w:val="24"/>
                <w:szCs w:val="24"/>
                <w:lang w:val="en-IE" w:eastAsia="en-IE"/>
                <w14:ligatures w14:val="none"/>
              </w:rPr>
              <w:t>General</w:t>
            </w:r>
            <w:r w:rsidRPr="00F905F4">
              <w:rPr>
                <w:rFonts w:ascii="Times New Roman" w:eastAsia="Times New Roman" w:hAnsi="Times New Roman" w:cs="Times New Roman"/>
                <w:color w:val="000000"/>
                <w:kern w:val="0"/>
                <w:sz w:val="24"/>
                <w:szCs w:val="24"/>
                <w:lang w:val="en-IE" w:eastAsia="en-IE"/>
                <w14:ligatures w14:val="none"/>
              </w:rPr>
              <w:t> </w:t>
            </w:r>
          </w:p>
          <w:p w14:paraId="6916C4A7" w14:textId="085C5AE2" w:rsidR="00E017E5" w:rsidRPr="00F905F4" w:rsidRDefault="00E017E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r>
      <w:tr w:rsidR="00637AB3" w:rsidRPr="00F905F4" w14:paraId="57800C1E" w14:textId="77777777" w:rsidTr="0092712D">
        <w:trPr>
          <w:trHeight w:val="4170"/>
        </w:trPr>
        <w:tc>
          <w:tcPr>
            <w:tcW w:w="1134" w:type="dxa"/>
            <w:tcBorders>
              <w:top w:val="nil"/>
              <w:left w:val="single" w:sz="4" w:space="0" w:color="auto"/>
              <w:bottom w:val="single" w:sz="4" w:space="0" w:color="auto"/>
              <w:right w:val="single" w:sz="4" w:space="0" w:color="auto"/>
            </w:tcBorders>
            <w:noWrap/>
            <w:vAlign w:val="center"/>
            <w:hideMark/>
          </w:tcPr>
          <w:p w14:paraId="255789A8"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1.1.1(1)</w:t>
            </w:r>
          </w:p>
        </w:tc>
        <w:tc>
          <w:tcPr>
            <w:tcW w:w="5766" w:type="dxa"/>
            <w:tcBorders>
              <w:top w:val="nil"/>
              <w:left w:val="nil"/>
              <w:bottom w:val="single" w:sz="4" w:space="0" w:color="auto"/>
              <w:right w:val="single" w:sz="4" w:space="0" w:color="auto"/>
            </w:tcBorders>
            <w:vAlign w:val="center"/>
            <w:hideMark/>
          </w:tcPr>
          <w:p w14:paraId="22F256A4" w14:textId="598317B8" w:rsidR="000830CB" w:rsidRPr="00F905F4" w:rsidRDefault="000830CB" w:rsidP="000830CB">
            <w:pPr>
              <w:rPr>
                <w:rFonts w:ascii="Times New Roman" w:eastAsia="Calibri" w:hAnsi="Times New Roman" w:cs="Times New Roman"/>
                <w:sz w:val="24"/>
                <w:szCs w:val="24"/>
              </w:rPr>
            </w:pPr>
            <w:r w:rsidRPr="00F905F4">
              <w:rPr>
                <w:rFonts w:ascii="Times New Roman" w:eastAsia="Calibri" w:hAnsi="Times New Roman" w:cs="Times New Roman"/>
                <w:sz w:val="24"/>
                <w:szCs w:val="24"/>
              </w:rPr>
              <w:t xml:space="preserve">Applications </w:t>
            </w:r>
            <w:r w:rsidR="007761F3" w:rsidRPr="00F905F4">
              <w:rPr>
                <w:rFonts w:ascii="Times New Roman" w:eastAsia="Calibri" w:hAnsi="Times New Roman" w:cs="Times New Roman"/>
                <w:sz w:val="24"/>
                <w:szCs w:val="24"/>
              </w:rPr>
              <w:t xml:space="preserve">must </w:t>
            </w:r>
            <w:r w:rsidRPr="00F905F4">
              <w:rPr>
                <w:rFonts w:ascii="Times New Roman" w:eastAsia="Calibri" w:hAnsi="Times New Roman" w:cs="Times New Roman"/>
                <w:sz w:val="24"/>
                <w:szCs w:val="24"/>
              </w:rPr>
              <w:t>solely address the following types of Capability Platforms</w:t>
            </w:r>
          </w:p>
          <w:p w14:paraId="45F29B62" w14:textId="77777777" w:rsidR="000830CB" w:rsidRPr="00F905F4" w:rsidRDefault="000830CB" w:rsidP="000830CB">
            <w:pPr>
              <w:pStyle w:val="Sraopastraipa"/>
              <w:numPr>
                <w:ilvl w:val="0"/>
                <w:numId w:val="2"/>
              </w:numPr>
              <w:spacing w:before="120" w:after="120" w:line="260" w:lineRule="exact"/>
              <w:rPr>
                <w:rFonts w:ascii="Times New Roman" w:hAnsi="Times New Roman" w:cs="Times New Roman"/>
                <w:b/>
                <w:bCs/>
                <w:sz w:val="24"/>
                <w:szCs w:val="24"/>
              </w:rPr>
            </w:pPr>
            <w:r w:rsidRPr="00F905F4">
              <w:rPr>
                <w:rFonts w:ascii="Times New Roman" w:hAnsi="Times New Roman" w:cs="Times New Roman"/>
                <w:b/>
                <w:bCs/>
                <w:sz w:val="24"/>
                <w:szCs w:val="24"/>
              </w:rPr>
              <w:t>Airborne Platform</w:t>
            </w:r>
          </w:p>
          <w:p w14:paraId="073FD539" w14:textId="77777777" w:rsidR="000830CB" w:rsidRPr="00F905F4" w:rsidRDefault="000830CB" w:rsidP="000830CB">
            <w:pPr>
              <w:pStyle w:val="Text4"/>
              <w:numPr>
                <w:ilvl w:val="1"/>
                <w:numId w:val="2"/>
              </w:numPr>
              <w:rPr>
                <w:rFonts w:eastAsia="Calibri"/>
                <w:szCs w:val="24"/>
                <w:lang w:eastAsia="en-US"/>
              </w:rPr>
            </w:pPr>
            <w:r w:rsidRPr="00F905F4">
              <w:rPr>
                <w:rFonts w:eastAsia="Calibri"/>
                <w:b/>
                <w:bCs/>
                <w:color w:val="000000"/>
                <w:szCs w:val="24"/>
                <w:lang w:eastAsia="en-US"/>
              </w:rPr>
              <w:t>High Altitude – Long Endurance Large Area</w:t>
            </w:r>
            <w:r w:rsidRPr="00F905F4">
              <w:rPr>
                <w:rFonts w:eastAsia="Calibri"/>
                <w:color w:val="000000"/>
                <w:szCs w:val="24"/>
                <w:lang w:eastAsia="en-US"/>
              </w:rPr>
              <w:t xml:space="preserve"> operating at an altitude corresponding to Higher Airspace (figure 1 in the call document)</w:t>
            </w:r>
          </w:p>
          <w:p w14:paraId="36E39E49" w14:textId="77777777" w:rsidR="000830CB" w:rsidRPr="00F905F4" w:rsidRDefault="000830CB" w:rsidP="000830CB">
            <w:pPr>
              <w:pStyle w:val="Text4"/>
              <w:numPr>
                <w:ilvl w:val="1"/>
                <w:numId w:val="2"/>
              </w:numPr>
              <w:rPr>
                <w:rFonts w:eastAsia="Calibri"/>
                <w:szCs w:val="24"/>
                <w:lang w:eastAsia="en-US"/>
              </w:rPr>
            </w:pPr>
            <w:r w:rsidRPr="00F905F4">
              <w:rPr>
                <w:rFonts w:eastAsia="Calibri"/>
                <w:b/>
                <w:bCs/>
                <w:color w:val="000000"/>
                <w:szCs w:val="24"/>
                <w:lang w:eastAsia="en-US"/>
              </w:rPr>
              <w:t>Medium Altitude - Long Endurance Medium Area</w:t>
            </w:r>
            <w:r w:rsidRPr="00F905F4">
              <w:rPr>
                <w:rFonts w:eastAsia="Calibri"/>
                <w:color w:val="000000"/>
                <w:szCs w:val="24"/>
                <w:lang w:eastAsia="en-US"/>
              </w:rPr>
              <w:t xml:space="preserve"> operating at an altitude corresponding to Commercial Airspace (figure 1)</w:t>
            </w:r>
          </w:p>
          <w:p w14:paraId="553C214C" w14:textId="77777777" w:rsidR="000830CB" w:rsidRPr="00F905F4" w:rsidRDefault="000830CB" w:rsidP="000830CB">
            <w:pPr>
              <w:pStyle w:val="Text4"/>
              <w:numPr>
                <w:ilvl w:val="1"/>
                <w:numId w:val="2"/>
              </w:numPr>
              <w:rPr>
                <w:rFonts w:eastAsia="Calibri"/>
                <w:szCs w:val="24"/>
                <w:lang w:eastAsia="en-US"/>
              </w:rPr>
            </w:pPr>
            <w:r w:rsidRPr="00F905F4">
              <w:rPr>
                <w:rFonts w:eastAsia="Calibri"/>
                <w:b/>
                <w:bCs/>
                <w:color w:val="000000"/>
                <w:szCs w:val="24"/>
                <w:lang w:eastAsia="en-US"/>
              </w:rPr>
              <w:t>Low Altitude – Long Endurance Small Area</w:t>
            </w:r>
            <w:r w:rsidRPr="00F905F4">
              <w:rPr>
                <w:rFonts w:eastAsia="Calibri"/>
                <w:color w:val="000000"/>
                <w:szCs w:val="24"/>
                <w:lang w:eastAsia="en-US"/>
              </w:rPr>
              <w:t xml:space="preserve"> operating at an altitude corresponding to the Urban Air Mobility Corridor (figure 1)</w:t>
            </w:r>
          </w:p>
          <w:p w14:paraId="7ED64516" w14:textId="36CB5448" w:rsidR="000830CB" w:rsidRPr="00F905F4" w:rsidRDefault="000830CB" w:rsidP="000830CB">
            <w:pPr>
              <w:pStyle w:val="Text4"/>
              <w:numPr>
                <w:ilvl w:val="1"/>
                <w:numId w:val="2"/>
              </w:numPr>
              <w:rPr>
                <w:rFonts w:eastAsia="Calibri"/>
                <w:szCs w:val="24"/>
                <w:lang w:eastAsia="en-US"/>
              </w:rPr>
            </w:pPr>
            <w:r w:rsidRPr="00F905F4">
              <w:rPr>
                <w:rFonts w:eastAsia="Calibri"/>
                <w:b/>
                <w:bCs/>
                <w:color w:val="000000"/>
                <w:szCs w:val="24"/>
                <w:lang w:eastAsia="en-US"/>
              </w:rPr>
              <w:t>Low Altitude – Medium Endurance Small Area</w:t>
            </w:r>
            <w:r w:rsidRPr="00F905F4">
              <w:rPr>
                <w:rFonts w:eastAsia="Calibri"/>
                <w:color w:val="000000"/>
                <w:szCs w:val="24"/>
                <w:lang w:eastAsia="en-US"/>
              </w:rPr>
              <w:t xml:space="preserve"> operating at an altitude corresponding to the Urban Air Mobility Corridor (figure 1)</w:t>
            </w:r>
          </w:p>
          <w:p w14:paraId="7D254D15" w14:textId="77777777" w:rsidR="000830CB" w:rsidRPr="00F905F4" w:rsidRDefault="000830CB" w:rsidP="000830CB">
            <w:pPr>
              <w:numPr>
                <w:ilvl w:val="0"/>
                <w:numId w:val="1"/>
              </w:numPr>
              <w:spacing w:before="120" w:after="120" w:line="260" w:lineRule="exact"/>
              <w:rPr>
                <w:rFonts w:ascii="Times New Roman" w:eastAsia="Calibri" w:hAnsi="Times New Roman" w:cs="Times New Roman"/>
                <w:b/>
                <w:bCs/>
                <w:color w:val="000000"/>
                <w:sz w:val="24"/>
                <w:szCs w:val="24"/>
              </w:rPr>
            </w:pPr>
            <w:r w:rsidRPr="00F905F4">
              <w:rPr>
                <w:rFonts w:ascii="Times New Roman" w:eastAsia="Calibri" w:hAnsi="Times New Roman" w:cs="Times New Roman"/>
                <w:b/>
                <w:bCs/>
                <w:color w:val="000000"/>
                <w:sz w:val="24"/>
                <w:szCs w:val="24"/>
              </w:rPr>
              <w:t>Seaborne Platform</w:t>
            </w:r>
          </w:p>
          <w:p w14:paraId="1B0B14A5" w14:textId="1531DA45" w:rsidR="000830CB" w:rsidRPr="00F905F4" w:rsidRDefault="000830CB" w:rsidP="000830CB">
            <w:pPr>
              <w:numPr>
                <w:ilvl w:val="1"/>
                <w:numId w:val="1"/>
              </w:numPr>
              <w:spacing w:before="120" w:after="120" w:line="260" w:lineRule="exact"/>
              <w:rPr>
                <w:rFonts w:ascii="Times New Roman" w:hAnsi="Times New Roman" w:cs="Times New Roman"/>
                <w:color w:val="000000"/>
                <w:sz w:val="24"/>
                <w:szCs w:val="24"/>
              </w:rPr>
            </w:pPr>
            <w:r w:rsidRPr="00F905F4">
              <w:rPr>
                <w:rFonts w:ascii="Times New Roman" w:eastAsia="Calibri" w:hAnsi="Times New Roman" w:cs="Times New Roman"/>
                <w:b/>
                <w:bCs/>
                <w:color w:val="000000" w:themeColor="text1"/>
                <w:sz w:val="24"/>
                <w:szCs w:val="24"/>
              </w:rPr>
              <w:t>Sea and River Surface</w:t>
            </w:r>
            <w:r w:rsidRPr="00F905F4">
              <w:rPr>
                <w:rFonts w:ascii="Times New Roman" w:eastAsia="Calibri" w:hAnsi="Times New Roman" w:cs="Times New Roman"/>
                <w:color w:val="000000" w:themeColor="text1"/>
                <w:sz w:val="24"/>
                <w:szCs w:val="24"/>
              </w:rPr>
              <w:t xml:space="preserve"> – Medium Endurance </w:t>
            </w:r>
            <w:r w:rsidR="00451BF8" w:rsidRPr="00F905F4">
              <w:rPr>
                <w:rFonts w:ascii="Times New Roman" w:eastAsia="Calibri" w:hAnsi="Times New Roman" w:cs="Times New Roman"/>
                <w:color w:val="000000" w:themeColor="text1"/>
                <w:sz w:val="24"/>
                <w:szCs w:val="24"/>
              </w:rPr>
              <w:t xml:space="preserve">Medium </w:t>
            </w:r>
            <w:r w:rsidRPr="00F905F4">
              <w:rPr>
                <w:rFonts w:ascii="Times New Roman" w:eastAsia="Calibri" w:hAnsi="Times New Roman" w:cs="Times New Roman"/>
                <w:color w:val="000000" w:themeColor="text1"/>
                <w:sz w:val="24"/>
                <w:szCs w:val="24"/>
              </w:rPr>
              <w:t>Area</w:t>
            </w:r>
          </w:p>
          <w:p w14:paraId="2A48CAD3" w14:textId="6656972C" w:rsidR="00637AB3" w:rsidRPr="00F905F4" w:rsidRDefault="00637AB3" w:rsidP="00637AB3">
            <w:pPr>
              <w:spacing w:after="0" w:line="240" w:lineRule="auto"/>
              <w:rPr>
                <w:rFonts w:ascii="Times New Roman" w:eastAsia="Times New Roman" w:hAnsi="Times New Roman" w:cs="Times New Roman"/>
                <w:color w:val="000000"/>
                <w:kern w:val="0"/>
                <w:sz w:val="24"/>
                <w:szCs w:val="24"/>
                <w:lang w:eastAsia="en-IE"/>
                <w14:ligatures w14:val="none"/>
              </w:rPr>
            </w:pPr>
          </w:p>
        </w:tc>
        <w:tc>
          <w:tcPr>
            <w:tcW w:w="2800" w:type="dxa"/>
            <w:tcBorders>
              <w:top w:val="nil"/>
              <w:left w:val="nil"/>
              <w:bottom w:val="single" w:sz="4" w:space="0" w:color="auto"/>
              <w:right w:val="single" w:sz="4" w:space="0" w:color="auto"/>
            </w:tcBorders>
            <w:noWrap/>
            <w:vAlign w:val="center"/>
            <w:hideMark/>
          </w:tcPr>
          <w:p w14:paraId="4599BD7E"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c>
          <w:tcPr>
            <w:tcW w:w="3340" w:type="dxa"/>
            <w:tcBorders>
              <w:top w:val="nil"/>
              <w:left w:val="nil"/>
              <w:bottom w:val="single" w:sz="4" w:space="0" w:color="auto"/>
              <w:right w:val="single" w:sz="4" w:space="0" w:color="auto"/>
            </w:tcBorders>
            <w:noWrap/>
            <w:vAlign w:val="center"/>
            <w:hideMark/>
          </w:tcPr>
          <w:p w14:paraId="3607777F"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r>
      <w:tr w:rsidR="00637AB3" w:rsidRPr="00F905F4" w14:paraId="7E49927F" w14:textId="77777777" w:rsidTr="0092712D">
        <w:trPr>
          <w:trHeight w:val="120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65DB197"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lastRenderedPageBreak/>
              <w:t>1.1.1(2)</w:t>
            </w:r>
          </w:p>
        </w:tc>
        <w:tc>
          <w:tcPr>
            <w:tcW w:w="5766" w:type="dxa"/>
            <w:tcBorders>
              <w:top w:val="single" w:sz="4" w:space="0" w:color="auto"/>
              <w:left w:val="nil"/>
              <w:bottom w:val="single" w:sz="4" w:space="0" w:color="auto"/>
              <w:right w:val="single" w:sz="4" w:space="0" w:color="auto"/>
            </w:tcBorders>
            <w:vAlign w:val="center"/>
            <w:hideMark/>
          </w:tcPr>
          <w:p w14:paraId="3372CDC4" w14:textId="348F362D" w:rsidR="00637AB3" w:rsidRPr="00F905F4" w:rsidRDefault="00637AB3" w:rsidP="00F36537">
            <w:pPr>
              <w:spacing w:after="0" w:line="240" w:lineRule="auto"/>
              <w:jc w:val="both"/>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xml:space="preserve">Equipment for Capability Package purchased under this Call </w:t>
            </w:r>
            <w:r w:rsidR="007761F3" w:rsidRPr="00F905F4">
              <w:rPr>
                <w:rFonts w:ascii="Times New Roman" w:eastAsia="Times New Roman" w:hAnsi="Times New Roman" w:cs="Times New Roman"/>
                <w:color w:val="000000"/>
                <w:kern w:val="0"/>
                <w:sz w:val="24"/>
                <w:szCs w:val="24"/>
                <w:lang w:val="en-IE" w:eastAsia="en-IE"/>
                <w14:ligatures w14:val="none"/>
              </w:rPr>
              <w:t xml:space="preserve">must </w:t>
            </w:r>
            <w:r w:rsidRPr="00F905F4">
              <w:rPr>
                <w:rFonts w:ascii="Times New Roman" w:eastAsia="Times New Roman" w:hAnsi="Times New Roman" w:cs="Times New Roman"/>
                <w:color w:val="000000"/>
                <w:kern w:val="0"/>
                <w:sz w:val="24"/>
                <w:szCs w:val="24"/>
                <w:lang w:val="en-IE" w:eastAsia="en-IE"/>
                <w14:ligatures w14:val="none"/>
              </w:rPr>
              <w:t>be able to be operated remotely and include the necessary ground Command, Control and Support capabilities from which captured surveillance data can be monitored and stored.</w:t>
            </w:r>
          </w:p>
        </w:tc>
        <w:tc>
          <w:tcPr>
            <w:tcW w:w="2800" w:type="dxa"/>
            <w:tcBorders>
              <w:top w:val="single" w:sz="4" w:space="0" w:color="auto"/>
              <w:left w:val="nil"/>
              <w:bottom w:val="single" w:sz="4" w:space="0" w:color="auto"/>
              <w:right w:val="single" w:sz="4" w:space="0" w:color="auto"/>
            </w:tcBorders>
            <w:noWrap/>
            <w:vAlign w:val="center"/>
            <w:hideMark/>
          </w:tcPr>
          <w:p w14:paraId="564C9EDC"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c>
          <w:tcPr>
            <w:tcW w:w="3340" w:type="dxa"/>
            <w:tcBorders>
              <w:top w:val="single" w:sz="4" w:space="0" w:color="auto"/>
              <w:left w:val="nil"/>
              <w:bottom w:val="single" w:sz="4" w:space="0" w:color="auto"/>
              <w:right w:val="single" w:sz="4" w:space="0" w:color="auto"/>
            </w:tcBorders>
            <w:noWrap/>
            <w:vAlign w:val="center"/>
            <w:hideMark/>
          </w:tcPr>
          <w:p w14:paraId="547742C6"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r>
      <w:tr w:rsidR="00637AB3" w:rsidRPr="00F905F4" w14:paraId="51FF4111" w14:textId="77777777" w:rsidTr="0092712D">
        <w:trPr>
          <w:trHeight w:val="3000"/>
        </w:trPr>
        <w:tc>
          <w:tcPr>
            <w:tcW w:w="1134" w:type="dxa"/>
            <w:tcBorders>
              <w:top w:val="single" w:sz="4" w:space="0" w:color="auto"/>
              <w:left w:val="single" w:sz="4" w:space="0" w:color="auto"/>
              <w:bottom w:val="single" w:sz="4" w:space="0" w:color="auto"/>
              <w:right w:val="single" w:sz="4" w:space="0" w:color="auto"/>
            </w:tcBorders>
            <w:noWrap/>
            <w:vAlign w:val="center"/>
            <w:hideMark/>
          </w:tcPr>
          <w:p w14:paraId="678619E8"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1.1.1(3)</w:t>
            </w:r>
          </w:p>
        </w:tc>
        <w:tc>
          <w:tcPr>
            <w:tcW w:w="5766" w:type="dxa"/>
            <w:tcBorders>
              <w:top w:val="single" w:sz="4" w:space="0" w:color="auto"/>
              <w:left w:val="single" w:sz="4" w:space="0" w:color="auto"/>
              <w:bottom w:val="single" w:sz="4" w:space="0" w:color="auto"/>
              <w:right w:val="single" w:sz="4" w:space="0" w:color="auto"/>
            </w:tcBorders>
            <w:vAlign w:val="center"/>
            <w:hideMark/>
          </w:tcPr>
          <w:p w14:paraId="5ED3F22E" w14:textId="0F0AD00F" w:rsidR="006206EB" w:rsidRPr="00F905F4" w:rsidRDefault="006206EB" w:rsidP="006206EB">
            <w:pPr>
              <w:rPr>
                <w:rFonts w:ascii="Times New Roman" w:eastAsia="Times New Roman" w:hAnsi="Times New Roman" w:cs="Times New Roman"/>
                <w:kern w:val="0"/>
                <w:sz w:val="24"/>
                <w:szCs w:val="24"/>
                <w14:ligatures w14:val="none"/>
              </w:rPr>
            </w:pPr>
            <w:r w:rsidRPr="00F905F4">
              <w:rPr>
                <w:rFonts w:ascii="Times New Roman" w:eastAsia="Times New Roman" w:hAnsi="Times New Roman" w:cs="Times New Roman"/>
                <w:kern w:val="0"/>
                <w:sz w:val="24"/>
                <w:szCs w:val="24"/>
                <w14:ligatures w14:val="none"/>
              </w:rPr>
              <w:t xml:space="preserve">All Airborne Capability Packages purchased under this Call </w:t>
            </w:r>
            <w:r w:rsidR="00F232AB" w:rsidRPr="00F905F4">
              <w:rPr>
                <w:rFonts w:ascii="Times New Roman" w:eastAsia="Times New Roman" w:hAnsi="Times New Roman" w:cs="Times New Roman"/>
                <w:kern w:val="0"/>
                <w:sz w:val="24"/>
                <w:szCs w:val="24"/>
                <w14:ligatures w14:val="none"/>
              </w:rPr>
              <w:t>must</w:t>
            </w:r>
            <w:r w:rsidRPr="00F905F4">
              <w:rPr>
                <w:rFonts w:ascii="Times New Roman" w:eastAsia="Times New Roman" w:hAnsi="Times New Roman" w:cs="Times New Roman"/>
                <w:kern w:val="0"/>
                <w:sz w:val="24"/>
                <w:szCs w:val="24"/>
                <w14:ligatures w14:val="none"/>
              </w:rPr>
              <w:t xml:space="preserve">: </w:t>
            </w:r>
          </w:p>
          <w:p w14:paraId="03FEAAA7" w14:textId="77777777" w:rsidR="006206EB" w:rsidRPr="00F905F4" w:rsidRDefault="006206EB" w:rsidP="006206EB">
            <w:pPr>
              <w:numPr>
                <w:ilvl w:val="0"/>
                <w:numId w:val="2"/>
              </w:numPr>
              <w:spacing w:after="240" w:line="240" w:lineRule="auto"/>
              <w:jc w:val="both"/>
              <w:rPr>
                <w:rFonts w:ascii="Times New Roman" w:eastAsia="Times New Roman" w:hAnsi="Times New Roman" w:cs="Times New Roman"/>
                <w:kern w:val="0"/>
                <w:sz w:val="24"/>
                <w:szCs w:val="24"/>
                <w14:ligatures w14:val="none"/>
              </w:rPr>
            </w:pPr>
            <w:r w:rsidRPr="00F905F4">
              <w:rPr>
                <w:rFonts w:ascii="Times New Roman" w:eastAsia="Times New Roman" w:hAnsi="Times New Roman" w:cs="Times New Roman"/>
                <w:kern w:val="0"/>
                <w:sz w:val="24"/>
                <w:szCs w:val="24"/>
                <w14:ligatures w14:val="none"/>
              </w:rPr>
              <w:t xml:space="preserve">Incorporate dual navigation systems that are enabled by the Global Navigation Satellite System - </w:t>
            </w:r>
          </w:p>
          <w:p w14:paraId="5BE57746" w14:textId="77777777" w:rsidR="006206EB" w:rsidRPr="00F905F4" w:rsidRDefault="006206EB" w:rsidP="006206EB">
            <w:pPr>
              <w:numPr>
                <w:ilvl w:val="0"/>
                <w:numId w:val="3"/>
              </w:numPr>
              <w:spacing w:after="240" w:line="240" w:lineRule="auto"/>
              <w:jc w:val="both"/>
              <w:rPr>
                <w:rFonts w:ascii="Times New Roman" w:eastAsia="Times New Roman" w:hAnsi="Times New Roman" w:cs="Times New Roman"/>
                <w:kern w:val="0"/>
                <w:sz w:val="24"/>
                <w:szCs w:val="24"/>
                <w14:ligatures w14:val="none"/>
              </w:rPr>
            </w:pPr>
            <w:r w:rsidRPr="00F905F4">
              <w:rPr>
                <w:rFonts w:ascii="Times New Roman" w:eastAsia="Times New Roman" w:hAnsi="Times New Roman" w:cs="Times New Roman"/>
                <w:kern w:val="0"/>
                <w:sz w:val="24"/>
                <w:szCs w:val="24"/>
                <w14:ligatures w14:val="none"/>
              </w:rPr>
              <w:t>Galileo together with the European Geostationary Navigation Overlay Service;</w:t>
            </w:r>
          </w:p>
          <w:p w14:paraId="0D1D9186" w14:textId="77777777" w:rsidR="006206EB" w:rsidRPr="00F905F4" w:rsidRDefault="006206EB" w:rsidP="006206EB">
            <w:pPr>
              <w:numPr>
                <w:ilvl w:val="0"/>
                <w:numId w:val="3"/>
              </w:numPr>
              <w:spacing w:after="240" w:line="240" w:lineRule="auto"/>
              <w:jc w:val="both"/>
              <w:rPr>
                <w:rFonts w:ascii="Times New Roman" w:eastAsia="Times New Roman" w:hAnsi="Times New Roman" w:cs="Times New Roman"/>
                <w:kern w:val="0"/>
                <w:sz w:val="24"/>
                <w:szCs w:val="24"/>
                <w14:ligatures w14:val="none"/>
              </w:rPr>
            </w:pPr>
            <w:r w:rsidRPr="00F905F4">
              <w:rPr>
                <w:rFonts w:ascii="Times New Roman" w:eastAsia="Times New Roman" w:hAnsi="Times New Roman" w:cs="Times New Roman"/>
                <w:kern w:val="0"/>
                <w:sz w:val="24"/>
                <w:szCs w:val="24"/>
                <w14:ligatures w14:val="none"/>
              </w:rPr>
              <w:t>The Global Positioning System.</w:t>
            </w:r>
          </w:p>
          <w:p w14:paraId="42647408" w14:textId="77777777" w:rsidR="006206EB" w:rsidRPr="00F905F4" w:rsidRDefault="006206EB" w:rsidP="006206EB">
            <w:pPr>
              <w:numPr>
                <w:ilvl w:val="0"/>
                <w:numId w:val="2"/>
              </w:numPr>
              <w:spacing w:after="240" w:line="240" w:lineRule="auto"/>
              <w:jc w:val="both"/>
              <w:rPr>
                <w:rFonts w:ascii="Times New Roman" w:eastAsia="Times New Roman" w:hAnsi="Times New Roman" w:cs="Times New Roman"/>
                <w:kern w:val="0"/>
                <w:sz w:val="24"/>
                <w:szCs w:val="24"/>
                <w14:ligatures w14:val="none"/>
              </w:rPr>
            </w:pPr>
            <w:r w:rsidRPr="00F905F4">
              <w:rPr>
                <w:rFonts w:ascii="Times New Roman" w:eastAsia="Times New Roman" w:hAnsi="Times New Roman" w:cs="Times New Roman"/>
                <w:kern w:val="0"/>
                <w:sz w:val="24"/>
                <w:szCs w:val="24"/>
                <w14:ligatures w14:val="none"/>
              </w:rPr>
              <w:t>Be capable of operating when deployed in remote operational environments that feature degraded coverage of the Global Navigation Satellite System.</w:t>
            </w:r>
          </w:p>
          <w:p w14:paraId="1E9CB838" w14:textId="22C43325" w:rsidR="00637AB3" w:rsidRPr="00F905F4" w:rsidRDefault="00637AB3" w:rsidP="00637AB3">
            <w:pPr>
              <w:spacing w:after="0" w:line="240" w:lineRule="auto"/>
              <w:rPr>
                <w:rFonts w:ascii="Times New Roman" w:eastAsia="Times New Roman" w:hAnsi="Times New Roman" w:cs="Times New Roman"/>
                <w:color w:val="000000"/>
                <w:kern w:val="0"/>
                <w:sz w:val="24"/>
                <w:szCs w:val="24"/>
                <w:lang w:eastAsia="en-IE"/>
                <w14:ligatures w14:val="none"/>
              </w:rPr>
            </w:pPr>
          </w:p>
        </w:tc>
        <w:tc>
          <w:tcPr>
            <w:tcW w:w="2800" w:type="dxa"/>
            <w:tcBorders>
              <w:top w:val="single" w:sz="4" w:space="0" w:color="auto"/>
              <w:left w:val="single" w:sz="4" w:space="0" w:color="auto"/>
              <w:bottom w:val="single" w:sz="4" w:space="0" w:color="auto"/>
              <w:right w:val="single" w:sz="4" w:space="0" w:color="auto"/>
            </w:tcBorders>
            <w:noWrap/>
            <w:vAlign w:val="center"/>
            <w:hideMark/>
          </w:tcPr>
          <w:p w14:paraId="7D53F523"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c>
          <w:tcPr>
            <w:tcW w:w="3340" w:type="dxa"/>
            <w:tcBorders>
              <w:top w:val="single" w:sz="4" w:space="0" w:color="auto"/>
              <w:left w:val="single" w:sz="4" w:space="0" w:color="auto"/>
              <w:bottom w:val="single" w:sz="4" w:space="0" w:color="auto"/>
              <w:right w:val="single" w:sz="4" w:space="0" w:color="auto"/>
            </w:tcBorders>
            <w:noWrap/>
            <w:vAlign w:val="center"/>
            <w:hideMark/>
          </w:tcPr>
          <w:p w14:paraId="18F033C8" w14:textId="77777777" w:rsidR="00637AB3" w:rsidRPr="00F905F4" w:rsidRDefault="00637AB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color w:val="000000"/>
                <w:kern w:val="0"/>
                <w:sz w:val="24"/>
                <w:szCs w:val="24"/>
                <w:lang w:val="en-IE" w:eastAsia="en-IE"/>
                <w14:ligatures w14:val="none"/>
              </w:rPr>
              <w:t> </w:t>
            </w:r>
          </w:p>
        </w:tc>
      </w:tr>
      <w:tr w:rsidR="005C37A0" w:rsidRPr="00F905F4" w14:paraId="415B49F4" w14:textId="77777777" w:rsidTr="0092712D">
        <w:trPr>
          <w:trHeight w:val="946"/>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152D2410" w14:textId="05EA2E85"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kern w:val="0"/>
                <w:sz w:val="24"/>
                <w:szCs w:val="24"/>
                <w:lang w:eastAsia="en-IE"/>
                <w14:ligatures w14:val="none"/>
              </w:rPr>
              <w:t>1.1.2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DB7DB0C" w14:textId="27F95660"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kern w:val="0"/>
                <w:sz w:val="24"/>
                <w:szCs w:val="24"/>
                <w:lang w:eastAsia="en-IE"/>
                <w14:ligatures w14:val="none"/>
              </w:rPr>
              <w:t>Airborne High Altitude – Long Endurance Large Area Surveillance</w:t>
            </w:r>
          </w:p>
        </w:tc>
      </w:tr>
      <w:tr w:rsidR="00AD4644" w:rsidRPr="00F905F4" w14:paraId="10FFD58B"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2AE188FD" w14:textId="15688D42" w:rsidR="00AD4644" w:rsidRPr="00F905F4" w:rsidRDefault="00683526" w:rsidP="00637AB3">
            <w:pPr>
              <w:spacing w:after="0" w:line="240" w:lineRule="auto"/>
              <w:rPr>
                <w:rFonts w:ascii="Times New Roman" w:eastAsia="Times New Roman" w:hAnsi="Times New Roman" w:cs="Times New Roman"/>
                <w:b/>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1.1.2 (1)</w:t>
            </w:r>
          </w:p>
        </w:tc>
        <w:tc>
          <w:tcPr>
            <w:tcW w:w="5766" w:type="dxa"/>
            <w:tcBorders>
              <w:top w:val="single" w:sz="4" w:space="0" w:color="auto"/>
              <w:left w:val="single" w:sz="4" w:space="0" w:color="auto"/>
              <w:bottom w:val="single" w:sz="4" w:space="0" w:color="auto"/>
              <w:right w:val="single" w:sz="4" w:space="0" w:color="auto"/>
            </w:tcBorders>
            <w:vAlign w:val="center"/>
          </w:tcPr>
          <w:p w14:paraId="1D9BD012" w14:textId="77777777" w:rsidR="007C1287" w:rsidRPr="007C1287" w:rsidRDefault="007C1287" w:rsidP="00683526">
            <w:pPr>
              <w:spacing w:after="240" w:line="240" w:lineRule="auto"/>
              <w:jc w:val="both"/>
              <w:rPr>
                <w:rFonts w:ascii="Times New Roman" w:eastAsia="Times New Roman" w:hAnsi="Times New Roman" w:cs="Times New Roman"/>
                <w:kern w:val="0"/>
                <w:sz w:val="6"/>
                <w:szCs w:val="6"/>
                <w:lang w:eastAsia="en-IE"/>
                <w14:ligatures w14:val="none"/>
              </w:rPr>
            </w:pPr>
          </w:p>
          <w:p w14:paraId="09C4A7EE" w14:textId="49535976" w:rsidR="00683526" w:rsidRPr="00F905F4" w:rsidRDefault="00683526" w:rsidP="00683526">
            <w:pPr>
              <w:spacing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 xml:space="preserve">The Capability Package revolving around a High-Altitude equipment platform </w:t>
            </w:r>
            <w:r w:rsidR="004C1352" w:rsidRPr="00F905F4">
              <w:rPr>
                <w:rFonts w:ascii="Times New Roman" w:eastAsia="Times New Roman" w:hAnsi="Times New Roman" w:cs="Times New Roman"/>
                <w:kern w:val="0"/>
                <w:sz w:val="24"/>
                <w:szCs w:val="24"/>
                <w:lang w:eastAsia="en-IE"/>
                <w14:ligatures w14:val="none"/>
              </w:rPr>
              <w:t xml:space="preserve">must </w:t>
            </w:r>
            <w:r w:rsidRPr="00F905F4">
              <w:rPr>
                <w:rFonts w:ascii="Times New Roman" w:eastAsia="Times New Roman" w:hAnsi="Times New Roman" w:cs="Times New Roman"/>
                <w:kern w:val="0"/>
                <w:sz w:val="24"/>
                <w:szCs w:val="24"/>
                <w:lang w:eastAsia="en-IE"/>
                <w14:ligatures w14:val="none"/>
              </w:rPr>
              <w:t>at a minimum be able to carry the necessary payload while sustaining the operational altitude in Higher Airspace in order to at least be able to:</w:t>
            </w:r>
          </w:p>
          <w:p w14:paraId="586B1B25" w14:textId="77777777" w:rsidR="00683526" w:rsidRPr="00F905F4" w:rsidRDefault="00683526" w:rsidP="00683526">
            <w:pPr>
              <w:numPr>
                <w:ilvl w:val="0"/>
                <w:numId w:val="4"/>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Navigate and sense-and-avoid collisions;</w:t>
            </w:r>
          </w:p>
          <w:p w14:paraId="29512B74" w14:textId="567EC8CA" w:rsidR="00AD4644" w:rsidRPr="00F905F4" w:rsidRDefault="00683526" w:rsidP="00066936">
            <w:pPr>
              <w:numPr>
                <w:ilvl w:val="0"/>
                <w:numId w:val="4"/>
              </w:numPr>
              <w:spacing w:before="120" w:after="120" w:line="260" w:lineRule="exact"/>
              <w:ind w:left="714" w:hanging="357"/>
              <w:jc w:val="both"/>
              <w:rPr>
                <w:rFonts w:ascii="Times New Roman" w:eastAsia="Times New Roman" w:hAnsi="Times New Roman" w:cs="Times New Roman"/>
                <w:b/>
                <w:kern w:val="0"/>
                <w:sz w:val="24"/>
                <w:szCs w:val="24"/>
                <w:lang w:eastAsia="en-IE"/>
                <w14:ligatures w14:val="none"/>
              </w:rPr>
            </w:pPr>
            <w:r w:rsidRPr="00F905F4">
              <w:rPr>
                <w:rFonts w:ascii="Times New Roman" w:eastAsia="Calibri" w:hAnsi="Times New Roman" w:cs="Times New Roman"/>
                <w:color w:val="000000"/>
                <w:kern w:val="0"/>
                <w:sz w:val="24"/>
                <w:szCs w:val="24"/>
                <w14:ligatures w14:val="none"/>
              </w:rPr>
              <w:t>Conduct electro-optical surveillance in line with requirement 1.1.3 (2).</w:t>
            </w:r>
          </w:p>
        </w:tc>
        <w:tc>
          <w:tcPr>
            <w:tcW w:w="2800" w:type="dxa"/>
            <w:tcBorders>
              <w:top w:val="single" w:sz="4" w:space="0" w:color="auto"/>
              <w:left w:val="single" w:sz="4" w:space="0" w:color="auto"/>
              <w:bottom w:val="single" w:sz="4" w:space="0" w:color="auto"/>
              <w:right w:val="single" w:sz="4" w:space="0" w:color="auto"/>
            </w:tcBorders>
            <w:noWrap/>
            <w:vAlign w:val="center"/>
          </w:tcPr>
          <w:p w14:paraId="29FCB6F1" w14:textId="77777777" w:rsidR="00AD4644" w:rsidRPr="00F905F4" w:rsidRDefault="00AD4644"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F02FF0F" w14:textId="77777777" w:rsidR="00AD4644" w:rsidRPr="00F905F4" w:rsidRDefault="00AD4644"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B2A8B" w:rsidRPr="00F905F4" w14:paraId="25434B1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6A478217" w14:textId="3C9AABE7" w:rsidR="00DB2A8B" w:rsidRPr="00F905F4" w:rsidRDefault="00DB2A8B" w:rsidP="00637AB3">
            <w:pPr>
              <w:spacing w:after="0" w:line="240" w:lineRule="auto"/>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1.1.2 (2)</w:t>
            </w:r>
          </w:p>
        </w:tc>
        <w:tc>
          <w:tcPr>
            <w:tcW w:w="5766" w:type="dxa"/>
            <w:tcBorders>
              <w:top w:val="single" w:sz="4" w:space="0" w:color="auto"/>
              <w:left w:val="single" w:sz="4" w:space="0" w:color="auto"/>
              <w:bottom w:val="single" w:sz="4" w:space="0" w:color="auto"/>
              <w:right w:val="single" w:sz="4" w:space="0" w:color="auto"/>
            </w:tcBorders>
            <w:vAlign w:val="center"/>
          </w:tcPr>
          <w:p w14:paraId="5456A3F1" w14:textId="17BFCBD9" w:rsidR="00DB2A8B" w:rsidRPr="00F905F4" w:rsidRDefault="00DB2A8B" w:rsidP="00066936">
            <w:pPr>
              <w:spacing w:before="240"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 xml:space="preserve">The platform </w:t>
            </w:r>
            <w:r w:rsidR="00355493" w:rsidRPr="00F905F4">
              <w:rPr>
                <w:rFonts w:ascii="Times New Roman" w:eastAsia="Times New Roman" w:hAnsi="Times New Roman" w:cs="Times New Roman"/>
                <w:kern w:val="0"/>
                <w:sz w:val="24"/>
                <w:szCs w:val="24"/>
                <w:lang w:eastAsia="en-IE"/>
                <w14:ligatures w14:val="none"/>
              </w:rPr>
              <w:t xml:space="preserve">must </w:t>
            </w:r>
            <w:r w:rsidRPr="00F905F4">
              <w:rPr>
                <w:rFonts w:ascii="Times New Roman" w:eastAsia="Times New Roman" w:hAnsi="Times New Roman" w:cs="Times New Roman"/>
                <w:kern w:val="0"/>
                <w:sz w:val="24"/>
                <w:szCs w:val="24"/>
                <w:lang w:eastAsia="en-IE"/>
                <w14:ligatures w14:val="none"/>
              </w:rPr>
              <w:t>be able to endure continuous operation for at least 14 days.</w:t>
            </w:r>
          </w:p>
        </w:tc>
        <w:tc>
          <w:tcPr>
            <w:tcW w:w="2800" w:type="dxa"/>
            <w:tcBorders>
              <w:top w:val="single" w:sz="4" w:space="0" w:color="auto"/>
              <w:left w:val="single" w:sz="4" w:space="0" w:color="auto"/>
              <w:bottom w:val="single" w:sz="4" w:space="0" w:color="auto"/>
              <w:right w:val="single" w:sz="4" w:space="0" w:color="auto"/>
            </w:tcBorders>
            <w:noWrap/>
            <w:vAlign w:val="center"/>
          </w:tcPr>
          <w:p w14:paraId="1ADC2A7F" w14:textId="77777777" w:rsidR="00DB2A8B" w:rsidRPr="00F905F4" w:rsidRDefault="00DB2A8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B570ABA" w14:textId="77777777" w:rsidR="00DB2A8B" w:rsidRPr="00F905F4" w:rsidRDefault="00DB2A8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4FA6D92F"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2D80274E" w14:textId="20F193BF" w:rsidR="005C37A0" w:rsidRPr="00F905F4" w:rsidRDefault="005C37A0" w:rsidP="00637AB3">
            <w:pPr>
              <w:spacing w:after="0" w:line="240" w:lineRule="auto"/>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1.1.3</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E6BFBC7" w14:textId="5DB18256"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kern w:val="0"/>
                <w:sz w:val="24"/>
                <w:szCs w:val="24"/>
                <w:lang w:eastAsia="en-IE"/>
                <w14:ligatures w14:val="none"/>
              </w:rPr>
              <w:t>Airborne Medium Altitude – Long Endurance Medium Area</w:t>
            </w:r>
          </w:p>
        </w:tc>
      </w:tr>
      <w:tr w:rsidR="00730C70" w:rsidRPr="00F905F4" w14:paraId="664BE9BD"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8127F83" w14:textId="1A61BC1B" w:rsidR="00730C70" w:rsidRPr="00F905F4" w:rsidRDefault="005A6390"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Calibri" w:hAnsi="Times New Roman" w:cs="Times New Roman"/>
                <w:color w:val="000000"/>
                <w:kern w:val="0"/>
                <w:sz w:val="24"/>
                <w:szCs w:val="24"/>
                <w14:ligatures w14:val="none"/>
              </w:rPr>
              <w:t>1.1.3 (1)</w:t>
            </w:r>
          </w:p>
        </w:tc>
        <w:tc>
          <w:tcPr>
            <w:tcW w:w="5766" w:type="dxa"/>
            <w:tcBorders>
              <w:top w:val="single" w:sz="4" w:space="0" w:color="auto"/>
              <w:left w:val="single" w:sz="4" w:space="0" w:color="auto"/>
              <w:bottom w:val="single" w:sz="4" w:space="0" w:color="auto"/>
              <w:right w:val="single" w:sz="4" w:space="0" w:color="auto"/>
            </w:tcBorders>
            <w:vAlign w:val="center"/>
          </w:tcPr>
          <w:p w14:paraId="6D1C9346" w14:textId="561926D0" w:rsidR="005A6390" w:rsidRPr="00F905F4" w:rsidRDefault="005A6390" w:rsidP="005A6390">
            <w:pPr>
              <w:spacing w:before="120" w:after="120" w:line="260" w:lineRule="exact"/>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 xml:space="preserve">Operating in Commercial Airspace, the Capability Package revolving around a Medium Altitude equipment platform </w:t>
            </w:r>
            <w:r w:rsidR="00DD2090" w:rsidRPr="00F905F4">
              <w:rPr>
                <w:rFonts w:ascii="Times New Roman" w:eastAsia="Calibri" w:hAnsi="Times New Roman" w:cs="Times New Roman"/>
                <w:color w:val="000000"/>
                <w:kern w:val="0"/>
                <w:sz w:val="24"/>
                <w:szCs w:val="24"/>
                <w14:ligatures w14:val="none"/>
              </w:rPr>
              <w:t>must</w:t>
            </w:r>
            <w:r w:rsidRPr="00F905F4">
              <w:rPr>
                <w:rFonts w:ascii="Times New Roman" w:eastAsia="Calibri" w:hAnsi="Times New Roman" w:cs="Times New Roman"/>
                <w:color w:val="000000"/>
                <w:kern w:val="0"/>
                <w:sz w:val="24"/>
                <w:szCs w:val="24"/>
                <w14:ligatures w14:val="none"/>
              </w:rPr>
              <w:t>:</w:t>
            </w:r>
          </w:p>
          <w:p w14:paraId="7C4ACF93" w14:textId="77777777" w:rsidR="005A6390" w:rsidRPr="00F905F4" w:rsidRDefault="005A6390" w:rsidP="005A6390">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Be able to conduct flights in any class of airspace rules under Visual Flight Rules and Instrumental Flight Rules;</w:t>
            </w:r>
          </w:p>
          <w:p w14:paraId="5D0A3103" w14:textId="77777777" w:rsidR="005A6390" w:rsidRPr="00F905F4" w:rsidRDefault="005A6390" w:rsidP="005A6390">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Have a flight endurance of minimum 20 consecutive hours when configured for the minimum payload described below;</w:t>
            </w:r>
          </w:p>
          <w:p w14:paraId="6B072E9B" w14:textId="77777777" w:rsidR="005A6390" w:rsidRPr="00F905F4" w:rsidRDefault="005A6390" w:rsidP="005A6390">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Be able to carry a payload of minimum 230 kg;</w:t>
            </w:r>
          </w:p>
          <w:p w14:paraId="0D93ED71" w14:textId="77777777" w:rsidR="005A6390" w:rsidRPr="00F905F4" w:rsidRDefault="005A6390" w:rsidP="005A6390">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Be able to fly both at night and day;</w:t>
            </w:r>
          </w:p>
          <w:p w14:paraId="18B28315" w14:textId="6FF2018B" w:rsidR="00730C70" w:rsidRPr="00F905F4" w:rsidRDefault="005A6390" w:rsidP="00066936">
            <w:pPr>
              <w:numPr>
                <w:ilvl w:val="0"/>
                <w:numId w:val="1"/>
              </w:numPr>
              <w:spacing w:before="120" w:after="120" w:line="260" w:lineRule="exact"/>
              <w:ind w:left="720"/>
              <w:jc w:val="both"/>
              <w:rPr>
                <w:rFonts w:ascii="Times New Roman" w:eastAsia="Times New Roman" w:hAnsi="Times New Roman" w:cs="Times New Roman"/>
                <w:b/>
                <w:bCs/>
                <w:kern w:val="0"/>
                <w:sz w:val="24"/>
                <w:szCs w:val="24"/>
                <w:lang w:eastAsia="en-IE"/>
                <w14:ligatures w14:val="none"/>
              </w:rPr>
            </w:pPr>
            <w:r w:rsidRPr="00F905F4">
              <w:rPr>
                <w:rFonts w:ascii="Times New Roman" w:eastAsia="Calibri" w:hAnsi="Times New Roman" w:cs="Times New Roman"/>
                <w:color w:val="000000"/>
                <w:kern w:val="0"/>
                <w:sz w:val="24"/>
                <w:szCs w:val="24"/>
                <w14:ligatures w14:val="none"/>
              </w:rPr>
              <w:t>Be able to take-off at least 15 kts of crosswind</w:t>
            </w:r>
          </w:p>
        </w:tc>
        <w:tc>
          <w:tcPr>
            <w:tcW w:w="2800" w:type="dxa"/>
            <w:tcBorders>
              <w:top w:val="single" w:sz="4" w:space="0" w:color="auto"/>
              <w:left w:val="single" w:sz="4" w:space="0" w:color="auto"/>
              <w:bottom w:val="single" w:sz="4" w:space="0" w:color="auto"/>
              <w:right w:val="single" w:sz="4" w:space="0" w:color="auto"/>
            </w:tcBorders>
            <w:noWrap/>
            <w:vAlign w:val="center"/>
          </w:tcPr>
          <w:p w14:paraId="135B82D7" w14:textId="77777777" w:rsidR="00730C70" w:rsidRPr="00F905F4" w:rsidRDefault="00730C7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38B72D26" w14:textId="77777777" w:rsidR="00730C70" w:rsidRPr="00F905F4" w:rsidRDefault="00730C7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1459F1" w:rsidRPr="00F905F4" w14:paraId="32548AD8"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EE37687" w14:textId="00077832" w:rsidR="001459F1" w:rsidRPr="00F905F4" w:rsidRDefault="001459F1" w:rsidP="00637AB3">
            <w:pPr>
              <w:spacing w:after="0" w:line="240" w:lineRule="auto"/>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1.1.3 (2)</w:t>
            </w:r>
          </w:p>
        </w:tc>
        <w:tc>
          <w:tcPr>
            <w:tcW w:w="5766" w:type="dxa"/>
            <w:tcBorders>
              <w:top w:val="single" w:sz="4" w:space="0" w:color="auto"/>
              <w:left w:val="single" w:sz="4" w:space="0" w:color="auto"/>
              <w:bottom w:val="single" w:sz="4" w:space="0" w:color="auto"/>
              <w:right w:val="single" w:sz="4" w:space="0" w:color="auto"/>
            </w:tcBorders>
            <w:vAlign w:val="center"/>
          </w:tcPr>
          <w:p w14:paraId="705F5AE8" w14:textId="1DF2DEA5" w:rsidR="001459F1" w:rsidRPr="00367599" w:rsidRDefault="001459F1" w:rsidP="001459F1">
            <w:pPr>
              <w:spacing w:before="240" w:after="240" w:line="240" w:lineRule="auto"/>
              <w:jc w:val="both"/>
              <w:rPr>
                <w:rFonts w:ascii="Times New Roman" w:eastAsia="Times New Roman" w:hAnsi="Times New Roman" w:cs="Times New Roman"/>
                <w:kern w:val="0"/>
                <w:sz w:val="24"/>
                <w:szCs w:val="24"/>
                <w:lang w:eastAsia="en-IE"/>
                <w14:ligatures w14:val="none"/>
              </w:rPr>
            </w:pPr>
            <w:r w:rsidRPr="00367599">
              <w:rPr>
                <w:rFonts w:ascii="Times New Roman" w:eastAsia="Times New Roman" w:hAnsi="Times New Roman" w:cs="Times New Roman"/>
                <w:kern w:val="0"/>
                <w:sz w:val="24"/>
                <w:szCs w:val="24"/>
                <w:lang w:eastAsia="en-IE"/>
                <w14:ligatures w14:val="none"/>
              </w:rPr>
              <w:t xml:space="preserve">The minimum payload </w:t>
            </w:r>
            <w:r w:rsidR="00DD2090" w:rsidRPr="00367599">
              <w:rPr>
                <w:rFonts w:ascii="Times New Roman" w:eastAsia="Times New Roman" w:hAnsi="Times New Roman" w:cs="Times New Roman"/>
                <w:kern w:val="0"/>
                <w:sz w:val="24"/>
                <w:szCs w:val="24"/>
                <w:lang w:eastAsia="en-IE"/>
                <w14:ligatures w14:val="none"/>
              </w:rPr>
              <w:t xml:space="preserve">must </w:t>
            </w:r>
            <w:r w:rsidRPr="00367599">
              <w:rPr>
                <w:rFonts w:ascii="Times New Roman" w:eastAsia="Times New Roman" w:hAnsi="Times New Roman" w:cs="Times New Roman"/>
                <w:kern w:val="0"/>
                <w:sz w:val="24"/>
                <w:szCs w:val="24"/>
                <w:lang w:eastAsia="en-IE"/>
                <w14:ligatures w14:val="none"/>
              </w:rPr>
              <w:t>include capabilities to sense-and-avoid while navigating in the skies as well as those addressing core capabilities</w:t>
            </w:r>
          </w:p>
          <w:p w14:paraId="152F5957" w14:textId="77777777" w:rsidR="001459F1" w:rsidRPr="00F905F4" w:rsidRDefault="001459F1" w:rsidP="001459F1">
            <w:pPr>
              <w:numPr>
                <w:ilvl w:val="0"/>
                <w:numId w:val="5"/>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Maritime Surveillance Radar operating in the X-band, designed for air-to-air and air-to-ground target detection, with automatic target tracking, Ground Moving Target Indication and adequate detection capabilities at sea state 3 of small and medium size targets.</w:t>
            </w:r>
          </w:p>
          <w:p w14:paraId="5483172D" w14:textId="77777777" w:rsidR="001459F1" w:rsidRPr="00F905F4" w:rsidRDefault="001459F1" w:rsidP="001459F1">
            <w:pPr>
              <w:numPr>
                <w:ilvl w:val="0"/>
                <w:numId w:val="1"/>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Electro-Optical sensors cued with the Maritime Surveillance Radar, which includes:</w:t>
            </w:r>
          </w:p>
          <w:p w14:paraId="441CF882" w14:textId="77777777" w:rsidR="001459F1" w:rsidRPr="00F905F4" w:rsidRDefault="001459F1" w:rsidP="001459F1">
            <w:pPr>
              <w:numPr>
                <w:ilvl w:val="1"/>
                <w:numId w:val="1"/>
              </w:numPr>
              <w:spacing w:before="120" w:after="120" w:line="260" w:lineRule="exact"/>
              <w:ind w:left="1077"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Gyroscopic stabilization of the turret enabling sufficient pan and tilt range as well as adequate high and low slew rates;</w:t>
            </w:r>
          </w:p>
          <w:p w14:paraId="267660EE" w14:textId="77777777" w:rsidR="001459F1" w:rsidRPr="00F905F4" w:rsidRDefault="001459F1" w:rsidP="001459F1">
            <w:pPr>
              <w:numPr>
                <w:ilvl w:val="1"/>
                <w:numId w:val="5"/>
              </w:numPr>
              <w:spacing w:before="120" w:after="120" w:line="260" w:lineRule="exact"/>
              <w:ind w:left="1077"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Thermal imaging operating in the mid-wave Infrared spectral band with adequate zooming capability, resolution and Field of View range;</w:t>
            </w:r>
          </w:p>
          <w:p w14:paraId="26714BCD" w14:textId="77777777" w:rsidR="001459F1" w:rsidRPr="00F905F4" w:rsidRDefault="001459F1" w:rsidP="001459F1">
            <w:pPr>
              <w:numPr>
                <w:ilvl w:val="1"/>
                <w:numId w:val="5"/>
              </w:numPr>
              <w:spacing w:before="120" w:after="120" w:line="260" w:lineRule="exact"/>
              <w:ind w:left="1077"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Optical imaging in colour with adequate zooming capability, resolution and Field of View Range;</w:t>
            </w:r>
          </w:p>
          <w:p w14:paraId="6375B9EF" w14:textId="77777777" w:rsidR="001459F1" w:rsidRPr="00F905F4" w:rsidRDefault="001459F1" w:rsidP="001459F1">
            <w:pPr>
              <w:numPr>
                <w:ilvl w:val="1"/>
                <w:numId w:val="5"/>
              </w:numPr>
              <w:spacing w:before="120" w:after="120" w:line="260" w:lineRule="exact"/>
              <w:ind w:left="1077"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Colour spotting with adequate resolution and Field of View.</w:t>
            </w:r>
          </w:p>
          <w:p w14:paraId="366AE416" w14:textId="77777777" w:rsidR="001459F1" w:rsidRPr="00F905F4" w:rsidRDefault="001459F1" w:rsidP="001459F1">
            <w:pPr>
              <w:numPr>
                <w:ilvl w:val="0"/>
                <w:numId w:val="5"/>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 xml:space="preserve">Dual navigation systems as required by </w:t>
            </w:r>
            <w:r w:rsidRPr="00F905F4">
              <w:rPr>
                <w:rFonts w:ascii="Times New Roman" w:eastAsia="Calibri" w:hAnsi="Times New Roman" w:cs="Times New Roman"/>
                <w:kern w:val="0"/>
                <w:sz w:val="24"/>
                <w:szCs w:val="24"/>
                <w14:ligatures w14:val="none"/>
              </w:rPr>
              <w:t xml:space="preserve">1.1.2 (1) </w:t>
            </w:r>
            <w:r w:rsidRPr="00F905F4">
              <w:rPr>
                <w:rFonts w:ascii="Times New Roman" w:eastAsia="Calibri" w:hAnsi="Times New Roman" w:cs="Times New Roman"/>
                <w:color w:val="000000"/>
                <w:kern w:val="0"/>
                <w:sz w:val="24"/>
                <w:szCs w:val="24"/>
                <w14:ligatures w14:val="none"/>
              </w:rPr>
              <w:t>and an Automatic Identification System Receiver.</w:t>
            </w:r>
          </w:p>
          <w:p w14:paraId="3DBCE6CD" w14:textId="77777777" w:rsidR="001459F1" w:rsidRPr="00F905F4" w:rsidRDefault="001459F1" w:rsidP="001459F1">
            <w:pPr>
              <w:numPr>
                <w:ilvl w:val="0"/>
                <w:numId w:val="5"/>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Very High Frequency maritime band radio and Global System for Mobile Communications interfaces.</w:t>
            </w:r>
          </w:p>
          <w:p w14:paraId="12EF12E7" w14:textId="77777777" w:rsidR="001459F1" w:rsidRPr="00F905F4" w:rsidRDefault="001459F1" w:rsidP="001459F1">
            <w:pPr>
              <w:numPr>
                <w:ilvl w:val="0"/>
                <w:numId w:val="5"/>
              </w:numPr>
              <w:spacing w:before="120" w:after="120" w:line="260" w:lineRule="exact"/>
              <w:ind w:left="714" w:hanging="357"/>
              <w:jc w:val="both"/>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Emergency Position Indicating Radio Beacons detection capability.</w:t>
            </w:r>
          </w:p>
          <w:p w14:paraId="3746F91A" w14:textId="77777777" w:rsidR="001459F1" w:rsidRPr="00F905F4" w:rsidRDefault="001459F1" w:rsidP="005A6390">
            <w:pPr>
              <w:spacing w:before="120" w:after="120" w:line="260" w:lineRule="exact"/>
              <w:jc w:val="both"/>
              <w:rPr>
                <w:rFonts w:ascii="Times New Roman" w:eastAsia="Calibri" w:hAnsi="Times New Roman" w:cs="Times New Roman"/>
                <w:color w:val="000000"/>
                <w:kern w:val="0"/>
                <w:sz w:val="24"/>
                <w:szCs w:val="24"/>
                <w14:ligatures w14:val="none"/>
              </w:rPr>
            </w:pPr>
          </w:p>
        </w:tc>
        <w:tc>
          <w:tcPr>
            <w:tcW w:w="2800" w:type="dxa"/>
            <w:tcBorders>
              <w:top w:val="single" w:sz="4" w:space="0" w:color="auto"/>
              <w:left w:val="single" w:sz="4" w:space="0" w:color="auto"/>
              <w:bottom w:val="single" w:sz="4" w:space="0" w:color="auto"/>
              <w:right w:val="single" w:sz="4" w:space="0" w:color="auto"/>
            </w:tcBorders>
            <w:noWrap/>
            <w:vAlign w:val="center"/>
          </w:tcPr>
          <w:p w14:paraId="38CF2F0A" w14:textId="77777777" w:rsidR="001459F1" w:rsidRPr="00F905F4" w:rsidRDefault="001459F1"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7F4C6F3E" w14:textId="77777777" w:rsidR="001459F1" w:rsidRPr="00F905F4" w:rsidRDefault="001459F1"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1C8C2CB5"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5BD48F4B" w14:textId="40DCD53F" w:rsidR="005C37A0" w:rsidRPr="00F905F4" w:rsidRDefault="005C37A0" w:rsidP="00637AB3">
            <w:pPr>
              <w:spacing w:after="0" w:line="240" w:lineRule="auto"/>
              <w:rPr>
                <w:rFonts w:ascii="Times New Roman" w:eastAsia="Calibri" w:hAnsi="Times New Roman" w:cs="Times New Roman"/>
                <w:color w:val="000000"/>
                <w:kern w:val="0"/>
                <w:sz w:val="24"/>
                <w:szCs w:val="24"/>
                <w14:ligatures w14:val="none"/>
              </w:rPr>
            </w:pPr>
            <w:r w:rsidRPr="006961AF">
              <w:rPr>
                <w:rFonts w:ascii="Times New Roman" w:eastAsia="Calibri" w:hAnsi="Times New Roman" w:cs="Times New Roman"/>
                <w:b/>
                <w:bCs/>
                <w:color w:val="000000"/>
                <w:kern w:val="0"/>
                <w:sz w:val="24"/>
                <w:szCs w:val="24"/>
                <w14:ligatures w14:val="none"/>
              </w:rPr>
              <w:t>1.1.4</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66CB33B9" w14:textId="45D8CBB1"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6961AF">
              <w:rPr>
                <w:rFonts w:ascii="Times New Roman" w:eastAsia="Times New Roman" w:hAnsi="Times New Roman" w:cs="Times New Roman"/>
                <w:b/>
                <w:bCs/>
                <w:kern w:val="0"/>
                <w:sz w:val="24"/>
                <w:szCs w:val="24"/>
                <w14:ligatures w14:val="none"/>
              </w:rPr>
              <w:t>Airborne Low Altitude – Long Endurance Small Area</w:t>
            </w:r>
          </w:p>
        </w:tc>
      </w:tr>
      <w:tr w:rsidR="006B41E7" w:rsidRPr="00F905F4" w14:paraId="23E7564F"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DDB3E9D" w14:textId="3A684101" w:rsidR="006B41E7" w:rsidRPr="00F905F4" w:rsidRDefault="00865705" w:rsidP="00637AB3">
            <w:pPr>
              <w:spacing w:after="0" w:line="240" w:lineRule="auto"/>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1.1.4 (1)</w:t>
            </w:r>
          </w:p>
        </w:tc>
        <w:tc>
          <w:tcPr>
            <w:tcW w:w="5766" w:type="dxa"/>
            <w:tcBorders>
              <w:top w:val="single" w:sz="4" w:space="0" w:color="auto"/>
              <w:left w:val="single" w:sz="4" w:space="0" w:color="auto"/>
              <w:bottom w:val="single" w:sz="4" w:space="0" w:color="auto"/>
              <w:right w:val="single" w:sz="4" w:space="0" w:color="auto"/>
            </w:tcBorders>
            <w:vAlign w:val="center"/>
          </w:tcPr>
          <w:p w14:paraId="1EFDEFDE" w14:textId="7AFE08AD" w:rsidR="006B41E7" w:rsidRPr="00F905F4" w:rsidRDefault="00FA1313" w:rsidP="001459F1">
            <w:pPr>
              <w:spacing w:before="240"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Calibri" w:hAnsi="Times New Roman" w:cs="Times New Roman"/>
                <w:kern w:val="0"/>
                <w:sz w:val="24"/>
                <w:szCs w:val="24"/>
                <w:lang w:eastAsia="en-IE"/>
                <w14:ligatures w14:val="none"/>
              </w:rPr>
              <w:t>The Capability Package must comprise a static Low Altitude equipment platform that is tethered to a ground Command, Control and Support capability to enable secure communication, energy supply and stationary positioning</w:t>
            </w:r>
          </w:p>
        </w:tc>
        <w:tc>
          <w:tcPr>
            <w:tcW w:w="2800" w:type="dxa"/>
            <w:tcBorders>
              <w:top w:val="single" w:sz="4" w:space="0" w:color="auto"/>
              <w:left w:val="single" w:sz="4" w:space="0" w:color="auto"/>
              <w:bottom w:val="single" w:sz="4" w:space="0" w:color="auto"/>
              <w:right w:val="single" w:sz="4" w:space="0" w:color="auto"/>
            </w:tcBorders>
            <w:noWrap/>
            <w:vAlign w:val="center"/>
          </w:tcPr>
          <w:p w14:paraId="0EE7E188"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70C3D5A0"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B41E7" w:rsidRPr="00F905F4" w14:paraId="0E1CBF90"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6801A777" w14:textId="63741C31" w:rsidR="006B41E7" w:rsidRPr="00F905F4" w:rsidRDefault="00865705" w:rsidP="00637AB3">
            <w:pPr>
              <w:spacing w:after="0" w:line="240" w:lineRule="auto"/>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1.1.4 (2)</w:t>
            </w:r>
          </w:p>
        </w:tc>
        <w:tc>
          <w:tcPr>
            <w:tcW w:w="5766" w:type="dxa"/>
            <w:tcBorders>
              <w:top w:val="single" w:sz="4" w:space="0" w:color="auto"/>
              <w:left w:val="single" w:sz="4" w:space="0" w:color="auto"/>
              <w:bottom w:val="single" w:sz="4" w:space="0" w:color="auto"/>
              <w:right w:val="single" w:sz="4" w:space="0" w:color="auto"/>
            </w:tcBorders>
            <w:vAlign w:val="center"/>
          </w:tcPr>
          <w:p w14:paraId="0D93A05C" w14:textId="40B7910B" w:rsidR="0056398A" w:rsidRPr="0056398A" w:rsidRDefault="0056398A" w:rsidP="0056398A">
            <w:pPr>
              <w:spacing w:after="240" w:line="240" w:lineRule="auto"/>
              <w:jc w:val="both"/>
              <w:rPr>
                <w:rFonts w:ascii="Times New Roman" w:eastAsia="Times New Roman" w:hAnsi="Times New Roman" w:cs="Times New Roman"/>
                <w:kern w:val="0"/>
                <w:sz w:val="24"/>
                <w:szCs w:val="24"/>
                <w:lang w:eastAsia="en-IE"/>
                <w14:ligatures w14:val="none"/>
              </w:rPr>
            </w:pPr>
            <w:r w:rsidRPr="0056398A">
              <w:rPr>
                <w:rFonts w:ascii="Times New Roman" w:eastAsia="Times New Roman" w:hAnsi="Times New Roman" w:cs="Times New Roman"/>
                <w:kern w:val="0"/>
                <w:sz w:val="24"/>
                <w:szCs w:val="24"/>
                <w:lang w:eastAsia="en-IE"/>
                <w14:ligatures w14:val="none"/>
              </w:rPr>
              <w:t>It must be configured to:</w:t>
            </w:r>
          </w:p>
          <w:p w14:paraId="737BA314" w14:textId="77777777" w:rsidR="0056398A" w:rsidRPr="0056398A" w:rsidRDefault="0056398A" w:rsidP="0056398A">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Be elevated through the use of buoyant gas in e.g. an airship or balloon, or a propelled platform;</w:t>
            </w:r>
          </w:p>
          <w:p w14:paraId="692C1A8E" w14:textId="77777777" w:rsidR="0056398A" w:rsidRPr="0056398A" w:rsidRDefault="0056398A" w:rsidP="0056398A">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Have an elevation height of at least the range 100 m to 1500 m with an endurance of at least 7 consecutive days;</w:t>
            </w:r>
          </w:p>
          <w:p w14:paraId="5C03AB8D" w14:textId="77777777" w:rsidR="0056398A" w:rsidRPr="0056398A" w:rsidRDefault="0056398A" w:rsidP="0056398A">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Acquire data from on board -</w:t>
            </w:r>
          </w:p>
          <w:p w14:paraId="13D924A1" w14:textId="77777777" w:rsidR="0056398A" w:rsidRPr="0056398A" w:rsidRDefault="0056398A" w:rsidP="0056398A">
            <w:pPr>
              <w:numPr>
                <w:ilvl w:val="1"/>
                <w:numId w:val="1"/>
              </w:numPr>
              <w:spacing w:before="120" w:after="120" w:line="260" w:lineRule="exact"/>
              <w:ind w:left="144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Electro-optical sensor systems for day and night vision;</w:t>
            </w:r>
          </w:p>
          <w:p w14:paraId="0C5EF741" w14:textId="77777777" w:rsidR="0056398A" w:rsidRPr="0056398A" w:rsidRDefault="0056398A" w:rsidP="0056398A">
            <w:pPr>
              <w:numPr>
                <w:ilvl w:val="1"/>
                <w:numId w:val="1"/>
              </w:numPr>
              <w:spacing w:before="120" w:after="120" w:line="260" w:lineRule="exact"/>
              <w:ind w:left="144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Electromagnetic sensor systems;</w:t>
            </w:r>
          </w:p>
          <w:p w14:paraId="32402605" w14:textId="77777777" w:rsidR="0056398A" w:rsidRPr="0056398A" w:rsidRDefault="0056398A" w:rsidP="0056398A">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Enable tracking using –</w:t>
            </w:r>
          </w:p>
          <w:p w14:paraId="61FF6A80" w14:textId="77777777" w:rsidR="0056398A" w:rsidRPr="0056398A" w:rsidRDefault="0056398A" w:rsidP="0056398A">
            <w:pPr>
              <w:numPr>
                <w:ilvl w:val="1"/>
                <w:numId w:val="1"/>
              </w:numPr>
              <w:spacing w:before="120" w:after="120" w:line="260" w:lineRule="exact"/>
              <w:ind w:left="144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Automatic tracking based on sensor data;</w:t>
            </w:r>
          </w:p>
          <w:p w14:paraId="1EA5A4CB" w14:textId="77777777" w:rsidR="0056398A" w:rsidRPr="0056398A" w:rsidRDefault="0056398A" w:rsidP="0056398A">
            <w:pPr>
              <w:numPr>
                <w:ilvl w:val="1"/>
                <w:numId w:val="1"/>
              </w:numPr>
              <w:spacing w:before="120" w:after="120" w:line="260" w:lineRule="exact"/>
              <w:ind w:left="144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Vessel tracking based on the Automatic Identification System;</w:t>
            </w:r>
          </w:p>
          <w:p w14:paraId="53AFAFA0" w14:textId="77777777" w:rsidR="0056398A" w:rsidRPr="0056398A" w:rsidRDefault="0056398A" w:rsidP="0056398A">
            <w:pPr>
              <w:numPr>
                <w:ilvl w:val="0"/>
                <w:numId w:val="1"/>
              </w:numPr>
              <w:spacing w:before="120" w:after="120" w:line="260" w:lineRule="exact"/>
              <w:ind w:left="720"/>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Adequate anchoring in the ground ensuring that the Platform is adequately secured in the ground in order to ensure safe operation.</w:t>
            </w:r>
          </w:p>
          <w:p w14:paraId="15F16997" w14:textId="77777777" w:rsidR="0056398A" w:rsidRPr="0056398A" w:rsidRDefault="0056398A" w:rsidP="0056398A">
            <w:pPr>
              <w:numPr>
                <w:ilvl w:val="0"/>
                <w:numId w:val="1"/>
              </w:numPr>
              <w:spacing w:before="120" w:after="120" w:line="260" w:lineRule="exact"/>
              <w:ind w:left="720"/>
              <w:contextualSpacing/>
              <w:jc w:val="both"/>
              <w:rPr>
                <w:rFonts w:ascii="Times New Roman" w:eastAsia="Calibri" w:hAnsi="Times New Roman" w:cs="Times New Roman"/>
                <w:color w:val="000000"/>
                <w:kern w:val="0"/>
                <w:sz w:val="24"/>
                <w:szCs w:val="24"/>
                <w14:ligatures w14:val="none"/>
              </w:rPr>
            </w:pPr>
            <w:r w:rsidRPr="0056398A">
              <w:rPr>
                <w:rFonts w:ascii="Times New Roman" w:eastAsia="Calibri" w:hAnsi="Times New Roman" w:cs="Times New Roman"/>
                <w:color w:val="000000"/>
                <w:kern w:val="0"/>
                <w:sz w:val="24"/>
                <w:szCs w:val="24"/>
                <w14:ligatures w14:val="none"/>
              </w:rPr>
              <w:t>Allow for operational flexibility through the reconfiguration of sensor payloads based on evolving tactical requirements;</w:t>
            </w:r>
          </w:p>
          <w:p w14:paraId="696C7EE0" w14:textId="77777777" w:rsidR="0056398A" w:rsidRPr="0056398A" w:rsidRDefault="0056398A" w:rsidP="0056398A">
            <w:pPr>
              <w:spacing w:before="120" w:after="120" w:line="260" w:lineRule="exact"/>
              <w:ind w:left="720"/>
              <w:contextualSpacing/>
              <w:jc w:val="both"/>
              <w:rPr>
                <w:rFonts w:ascii="Times New Roman" w:eastAsia="Calibri" w:hAnsi="Times New Roman" w:cs="Times New Roman"/>
                <w:color w:val="000000"/>
                <w:kern w:val="0"/>
                <w:sz w:val="24"/>
                <w:szCs w:val="24"/>
                <w14:ligatures w14:val="none"/>
              </w:rPr>
            </w:pPr>
          </w:p>
          <w:p w14:paraId="0934B8FC" w14:textId="77777777" w:rsidR="006B41E7" w:rsidRPr="00F905F4" w:rsidRDefault="0056398A" w:rsidP="00066936">
            <w:pPr>
              <w:numPr>
                <w:ilvl w:val="0"/>
                <w:numId w:val="1"/>
              </w:numPr>
              <w:spacing w:before="120" w:after="120" w:line="260" w:lineRule="exact"/>
              <w:ind w:left="720"/>
              <w:contextualSpacing/>
              <w:jc w:val="both"/>
              <w:rPr>
                <w:rFonts w:ascii="Times New Roman" w:eastAsia="Times New Roman" w:hAnsi="Times New Roman" w:cs="Times New Roman"/>
                <w:kern w:val="0"/>
                <w:sz w:val="24"/>
                <w:szCs w:val="24"/>
                <w:lang w:eastAsia="en-IE"/>
                <w14:ligatures w14:val="none"/>
              </w:rPr>
            </w:pPr>
            <w:r w:rsidRPr="0056398A">
              <w:rPr>
                <w:rFonts w:ascii="Times New Roman" w:eastAsia="Calibri" w:hAnsi="Times New Roman" w:cs="Times New Roman"/>
                <w:color w:val="000000"/>
                <w:kern w:val="0"/>
                <w:sz w:val="24"/>
                <w:szCs w:val="24"/>
                <w14:ligatures w14:val="none"/>
              </w:rPr>
              <w:t>Be easily re-deployable.</w:t>
            </w:r>
          </w:p>
          <w:p w14:paraId="46A95BE9" w14:textId="77777777" w:rsidR="005C37A0" w:rsidRPr="00F905F4" w:rsidRDefault="005C37A0" w:rsidP="005C37A0">
            <w:pPr>
              <w:pStyle w:val="Sraopastraipa"/>
              <w:rPr>
                <w:rFonts w:ascii="Times New Roman" w:eastAsia="Times New Roman" w:hAnsi="Times New Roman" w:cs="Times New Roman"/>
                <w:kern w:val="0"/>
                <w:sz w:val="24"/>
                <w:szCs w:val="24"/>
                <w:lang w:eastAsia="en-IE"/>
                <w14:ligatures w14:val="none"/>
              </w:rPr>
            </w:pPr>
          </w:p>
          <w:p w14:paraId="2282666F" w14:textId="21346F43" w:rsidR="005C37A0" w:rsidRPr="00F905F4" w:rsidRDefault="005C37A0" w:rsidP="005C37A0">
            <w:pPr>
              <w:spacing w:before="120" w:after="120" w:line="260" w:lineRule="exact"/>
              <w:contextualSpacing/>
              <w:jc w:val="both"/>
              <w:rPr>
                <w:rFonts w:ascii="Times New Roman" w:eastAsia="Times New Roman" w:hAnsi="Times New Roman" w:cs="Times New Roman"/>
                <w:kern w:val="0"/>
                <w:sz w:val="24"/>
                <w:szCs w:val="24"/>
                <w:lang w:eastAsia="en-IE"/>
                <w14:ligatures w14:val="none"/>
              </w:rPr>
            </w:pPr>
          </w:p>
        </w:tc>
        <w:tc>
          <w:tcPr>
            <w:tcW w:w="2800" w:type="dxa"/>
            <w:tcBorders>
              <w:top w:val="single" w:sz="4" w:space="0" w:color="auto"/>
              <w:left w:val="single" w:sz="4" w:space="0" w:color="auto"/>
              <w:bottom w:val="single" w:sz="4" w:space="0" w:color="auto"/>
              <w:right w:val="single" w:sz="4" w:space="0" w:color="auto"/>
            </w:tcBorders>
            <w:noWrap/>
            <w:vAlign w:val="center"/>
          </w:tcPr>
          <w:p w14:paraId="7FA080DE"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B7CCEF7"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4F39A617"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7FEDA504" w14:textId="35810431" w:rsidR="005C37A0" w:rsidRPr="00F905F4" w:rsidRDefault="005C37A0" w:rsidP="00637AB3">
            <w:pPr>
              <w:spacing w:after="0" w:line="240" w:lineRule="auto"/>
              <w:rPr>
                <w:rFonts w:ascii="Times New Roman" w:eastAsia="Calibri" w:hAnsi="Times New Roman" w:cs="Times New Roman"/>
                <w:color w:val="000000"/>
                <w:kern w:val="0"/>
                <w:sz w:val="24"/>
                <w:szCs w:val="24"/>
                <w14:ligatures w14:val="none"/>
              </w:rPr>
            </w:pPr>
            <w:r w:rsidRPr="009F2C3F">
              <w:rPr>
                <w:rFonts w:ascii="Times New Roman" w:eastAsia="Times New Roman" w:hAnsi="Times New Roman" w:cs="Times New Roman"/>
                <w:b/>
                <w:bCs/>
                <w:kern w:val="0"/>
                <w:sz w:val="24"/>
                <w:szCs w:val="24"/>
                <w:lang w:eastAsia="en-IE"/>
                <w14:ligatures w14:val="none"/>
              </w:rPr>
              <w:t>1.1.5</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1CC21CE" w14:textId="60EB42E3"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9F2C3F">
              <w:rPr>
                <w:rFonts w:ascii="Times New Roman" w:eastAsia="Times New Roman" w:hAnsi="Times New Roman" w:cs="Times New Roman"/>
                <w:b/>
                <w:bCs/>
                <w:kern w:val="0"/>
                <w:sz w:val="24"/>
                <w:szCs w:val="24"/>
                <w:lang w:eastAsia="en-IE"/>
                <w14:ligatures w14:val="none"/>
              </w:rPr>
              <w:t>Airborne Low Altitude – Medium Endurance Small Area</w:t>
            </w:r>
          </w:p>
        </w:tc>
      </w:tr>
      <w:tr w:rsidR="006B41E7" w:rsidRPr="00F905F4" w14:paraId="27D72956"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6B460EAF" w14:textId="0C944C61" w:rsidR="006B41E7" w:rsidRPr="00F905F4" w:rsidRDefault="008D72B6" w:rsidP="00637AB3">
            <w:pPr>
              <w:spacing w:after="0" w:line="240" w:lineRule="auto"/>
              <w:rPr>
                <w:rFonts w:ascii="Times New Roman" w:eastAsia="Calibri" w:hAnsi="Times New Roman" w:cs="Times New Roman"/>
                <w:color w:val="000000"/>
                <w:kern w:val="0"/>
                <w:sz w:val="24"/>
                <w:szCs w:val="24"/>
                <w14:ligatures w14:val="none"/>
              </w:rPr>
            </w:pPr>
            <w:r w:rsidRPr="008D72B6">
              <w:rPr>
                <w:rFonts w:ascii="Times New Roman" w:eastAsia="Times New Roman" w:hAnsi="Times New Roman" w:cs="Times New Roman"/>
                <w:kern w:val="0"/>
                <w:sz w:val="24"/>
                <w:szCs w:val="24"/>
                <w:lang w:eastAsia="en-IE"/>
                <w14:ligatures w14:val="none"/>
              </w:rPr>
              <w:t>1.1.5 (1)</w:t>
            </w:r>
          </w:p>
        </w:tc>
        <w:tc>
          <w:tcPr>
            <w:tcW w:w="5766" w:type="dxa"/>
            <w:tcBorders>
              <w:top w:val="single" w:sz="4" w:space="0" w:color="auto"/>
              <w:left w:val="single" w:sz="4" w:space="0" w:color="auto"/>
              <w:bottom w:val="single" w:sz="4" w:space="0" w:color="auto"/>
              <w:right w:val="single" w:sz="4" w:space="0" w:color="auto"/>
            </w:tcBorders>
            <w:vAlign w:val="center"/>
          </w:tcPr>
          <w:p w14:paraId="79AE370C" w14:textId="4567FFC8" w:rsidR="006B41E7" w:rsidRPr="00F905F4" w:rsidRDefault="008D72B6" w:rsidP="00066936">
            <w:pPr>
              <w:spacing w:after="240" w:line="240" w:lineRule="auto"/>
              <w:jc w:val="both"/>
              <w:rPr>
                <w:rFonts w:ascii="Times New Roman" w:eastAsia="Times New Roman" w:hAnsi="Times New Roman" w:cs="Times New Roman"/>
                <w:kern w:val="0"/>
                <w:sz w:val="24"/>
                <w:szCs w:val="24"/>
                <w:lang w:eastAsia="en-IE"/>
                <w14:ligatures w14:val="none"/>
              </w:rPr>
            </w:pPr>
            <w:r w:rsidRPr="008D72B6">
              <w:rPr>
                <w:rFonts w:ascii="Times New Roman" w:eastAsia="Times New Roman" w:hAnsi="Times New Roman" w:cs="Times New Roman"/>
                <w:kern w:val="0"/>
                <w:sz w:val="24"/>
                <w:szCs w:val="24"/>
                <w:lang w:eastAsia="en-IE"/>
                <w14:ligatures w14:val="none"/>
              </w:rPr>
              <w:t>The inherent equipment and systems under this Capability Package must comprise a remotely operated mobile platform, able to take-off and land vertically in accordance with the applicable Technical Standard (</w:t>
            </w:r>
            <w:r w:rsidRPr="008D72B6">
              <w:rPr>
                <w:rFonts w:ascii="Times New Roman" w:eastAsia="Times New Roman" w:hAnsi="Times New Roman" w:cs="Times New Roman"/>
                <w:kern w:val="0"/>
                <w:sz w:val="24"/>
                <w:szCs w:val="24"/>
                <w:vertAlign w:val="superscript"/>
                <w:lang w:eastAsia="en-IE"/>
                <w14:ligatures w14:val="none"/>
              </w:rPr>
              <w:footnoteReference w:id="2"/>
            </w:r>
            <w:r w:rsidRPr="008D72B6">
              <w:rPr>
                <w:rFonts w:ascii="Times New Roman" w:eastAsia="Times New Roman" w:hAnsi="Times New Roman" w:cs="Times New Roman"/>
                <w:kern w:val="0"/>
                <w:sz w:val="24"/>
                <w:szCs w:val="24"/>
                <w:lang w:eastAsia="en-IE"/>
                <w14:ligatures w14:val="none"/>
              </w:rPr>
              <w:t xml:space="preserve">) for Vertical Take-Off and Landing Remotely Piloted Aircraft Systems. </w:t>
            </w:r>
          </w:p>
        </w:tc>
        <w:tc>
          <w:tcPr>
            <w:tcW w:w="2800" w:type="dxa"/>
            <w:tcBorders>
              <w:top w:val="single" w:sz="4" w:space="0" w:color="auto"/>
              <w:left w:val="single" w:sz="4" w:space="0" w:color="auto"/>
              <w:bottom w:val="single" w:sz="4" w:space="0" w:color="auto"/>
              <w:right w:val="single" w:sz="4" w:space="0" w:color="auto"/>
            </w:tcBorders>
            <w:noWrap/>
            <w:vAlign w:val="center"/>
          </w:tcPr>
          <w:p w14:paraId="2B82C1B8"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24E7B25"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3B90EC3E" w14:textId="77777777" w:rsidTr="0092712D">
        <w:trPr>
          <w:trHeight w:val="70"/>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04599B7E" w14:textId="187C7206" w:rsidR="005C37A0" w:rsidRPr="00F905F4" w:rsidRDefault="005C37A0" w:rsidP="00637AB3">
            <w:pPr>
              <w:spacing w:after="0" w:line="240" w:lineRule="auto"/>
              <w:rPr>
                <w:rFonts w:ascii="Times New Roman" w:eastAsia="Calibri" w:hAnsi="Times New Roman" w:cs="Times New Roman"/>
                <w:color w:val="000000"/>
                <w:kern w:val="0"/>
                <w:sz w:val="24"/>
                <w:szCs w:val="24"/>
                <w14:ligatures w14:val="none"/>
              </w:rPr>
            </w:pPr>
            <w:r w:rsidRPr="004A4666">
              <w:rPr>
                <w:rFonts w:ascii="Times New Roman" w:eastAsia="Times New Roman" w:hAnsi="Times New Roman" w:cs="Times New Roman"/>
                <w:b/>
                <w:bCs/>
                <w:kern w:val="0"/>
                <w:sz w:val="24"/>
                <w:szCs w:val="24"/>
                <w:lang w:eastAsia="en-IE"/>
                <w14:ligatures w14:val="none"/>
              </w:rPr>
              <w:t>1.1.6</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729F010" w14:textId="77777777" w:rsidR="005C37A0" w:rsidRPr="00F905F4" w:rsidRDefault="005C37A0" w:rsidP="00637AB3">
            <w:pPr>
              <w:spacing w:after="0" w:line="240" w:lineRule="auto"/>
              <w:rPr>
                <w:rFonts w:ascii="Times New Roman" w:eastAsia="Times New Roman" w:hAnsi="Times New Roman" w:cs="Times New Roman"/>
                <w:b/>
                <w:bCs/>
                <w:kern w:val="0"/>
                <w:sz w:val="24"/>
                <w:szCs w:val="24"/>
                <w:lang w:eastAsia="en-IE"/>
                <w14:ligatures w14:val="none"/>
              </w:rPr>
            </w:pPr>
          </w:p>
          <w:p w14:paraId="7AE42BC7" w14:textId="1E705998" w:rsidR="005C37A0" w:rsidRPr="00F905F4" w:rsidRDefault="005C37A0" w:rsidP="00637AB3">
            <w:pPr>
              <w:spacing w:after="0" w:line="240" w:lineRule="auto"/>
              <w:rPr>
                <w:rFonts w:ascii="Times New Roman" w:eastAsia="Times New Roman" w:hAnsi="Times New Roman" w:cs="Times New Roman"/>
                <w:b/>
                <w:bCs/>
                <w:kern w:val="0"/>
                <w:sz w:val="24"/>
                <w:szCs w:val="24"/>
                <w:lang w:eastAsia="en-IE"/>
                <w14:ligatures w14:val="none"/>
              </w:rPr>
            </w:pPr>
            <w:r w:rsidRPr="004A4666">
              <w:rPr>
                <w:rFonts w:ascii="Times New Roman" w:eastAsia="Times New Roman" w:hAnsi="Times New Roman" w:cs="Times New Roman"/>
                <w:b/>
                <w:bCs/>
                <w:kern w:val="0"/>
                <w:sz w:val="24"/>
                <w:szCs w:val="24"/>
                <w:lang w:eastAsia="en-IE"/>
                <w14:ligatures w14:val="none"/>
              </w:rPr>
              <w:t>Seaborne River Surface – Medium Endurance Medium Area</w:t>
            </w:r>
          </w:p>
          <w:p w14:paraId="63A13C3D" w14:textId="77777777"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B41E7" w:rsidRPr="00F905F4" w14:paraId="7A6C528E"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5AAEA649" w14:textId="13A19AB7" w:rsidR="006B41E7" w:rsidRPr="00F905F4" w:rsidRDefault="00D777FC" w:rsidP="00637AB3">
            <w:pPr>
              <w:spacing w:after="0" w:line="240" w:lineRule="auto"/>
              <w:rPr>
                <w:rFonts w:ascii="Times New Roman" w:eastAsia="Calibri" w:hAnsi="Times New Roman" w:cs="Times New Roman"/>
                <w:color w:val="000000"/>
                <w:kern w:val="0"/>
                <w:sz w:val="24"/>
                <w:szCs w:val="24"/>
                <w14:ligatures w14:val="none"/>
              </w:rPr>
            </w:pPr>
            <w:r w:rsidRPr="00252D39">
              <w:rPr>
                <w:rFonts w:ascii="Times New Roman" w:eastAsia="Times New Roman" w:hAnsi="Times New Roman" w:cs="Times New Roman"/>
                <w:kern w:val="0"/>
                <w:sz w:val="24"/>
                <w:szCs w:val="24"/>
                <w:lang w:eastAsia="en-IE"/>
                <w14:ligatures w14:val="none"/>
              </w:rPr>
              <w:t>1.1.6 (1)</w:t>
            </w:r>
          </w:p>
        </w:tc>
        <w:tc>
          <w:tcPr>
            <w:tcW w:w="5766" w:type="dxa"/>
            <w:tcBorders>
              <w:top w:val="single" w:sz="4" w:space="0" w:color="auto"/>
              <w:left w:val="single" w:sz="4" w:space="0" w:color="auto"/>
              <w:bottom w:val="single" w:sz="4" w:space="0" w:color="auto"/>
              <w:right w:val="single" w:sz="4" w:space="0" w:color="auto"/>
            </w:tcBorders>
            <w:vAlign w:val="center"/>
          </w:tcPr>
          <w:p w14:paraId="14008BFE" w14:textId="77777777" w:rsidR="006B41E7" w:rsidRPr="00F905F4" w:rsidRDefault="00D777FC" w:rsidP="00066936">
            <w:pPr>
              <w:spacing w:before="240" w:after="240" w:line="240" w:lineRule="auto"/>
              <w:jc w:val="both"/>
              <w:rPr>
                <w:rFonts w:ascii="Times New Roman" w:eastAsia="Times New Roman" w:hAnsi="Times New Roman" w:cs="Times New Roman"/>
                <w:kern w:val="0"/>
                <w:sz w:val="24"/>
                <w:szCs w:val="24"/>
                <w:lang w:eastAsia="en-IE"/>
                <w14:ligatures w14:val="none"/>
              </w:rPr>
            </w:pPr>
            <w:r w:rsidRPr="00252D39">
              <w:rPr>
                <w:rFonts w:ascii="Times New Roman" w:eastAsia="Times New Roman" w:hAnsi="Times New Roman" w:cs="Times New Roman"/>
                <w:kern w:val="0"/>
                <w:sz w:val="24"/>
                <w:szCs w:val="24"/>
                <w:lang w:eastAsia="en-IE"/>
                <w14:ligatures w14:val="none"/>
              </w:rPr>
              <w:t>The equipment platform and ground Command, Control and Support capabilities under this Capability Package must comply with the requirements for Coastal Patrol Boats I in the Technical Standard for Maritime Equipment (</w:t>
            </w:r>
            <w:r w:rsidRPr="00252D39">
              <w:rPr>
                <w:rFonts w:ascii="Times New Roman" w:eastAsia="Times New Roman" w:hAnsi="Times New Roman" w:cs="Times New Roman"/>
                <w:kern w:val="0"/>
                <w:sz w:val="24"/>
                <w:szCs w:val="24"/>
                <w:vertAlign w:val="superscript"/>
                <w:lang w:eastAsia="en-IE"/>
                <w14:ligatures w14:val="none"/>
              </w:rPr>
              <w:footnoteReference w:id="3"/>
            </w:r>
            <w:r w:rsidRPr="00252D39">
              <w:rPr>
                <w:rFonts w:ascii="Times New Roman" w:eastAsia="Times New Roman" w:hAnsi="Times New Roman" w:cs="Times New Roman"/>
                <w:kern w:val="0"/>
                <w:sz w:val="24"/>
                <w:szCs w:val="24"/>
                <w:lang w:eastAsia="en-IE"/>
                <w14:ligatures w14:val="none"/>
              </w:rPr>
              <w:t>).</w:t>
            </w:r>
          </w:p>
          <w:p w14:paraId="32DF9831" w14:textId="77777777" w:rsidR="002A67F3" w:rsidRPr="00F905F4" w:rsidRDefault="002A67F3" w:rsidP="00066936">
            <w:pPr>
              <w:spacing w:before="240" w:after="240" w:line="240" w:lineRule="auto"/>
              <w:jc w:val="both"/>
              <w:rPr>
                <w:rFonts w:ascii="Times New Roman" w:eastAsia="Times New Roman" w:hAnsi="Times New Roman" w:cs="Times New Roman"/>
                <w:kern w:val="0"/>
                <w:sz w:val="24"/>
                <w:szCs w:val="24"/>
                <w:lang w:eastAsia="en-IE"/>
                <w14:ligatures w14:val="none"/>
              </w:rPr>
            </w:pPr>
          </w:p>
          <w:p w14:paraId="5BF7FC3A" w14:textId="77777777" w:rsidR="005C37A0" w:rsidRPr="00F905F4" w:rsidRDefault="005C37A0" w:rsidP="00066936">
            <w:pPr>
              <w:spacing w:before="240" w:after="240" w:line="240" w:lineRule="auto"/>
              <w:jc w:val="both"/>
              <w:rPr>
                <w:rFonts w:ascii="Times New Roman" w:eastAsia="Times New Roman" w:hAnsi="Times New Roman" w:cs="Times New Roman"/>
                <w:kern w:val="0"/>
                <w:sz w:val="24"/>
                <w:szCs w:val="24"/>
                <w:lang w:eastAsia="en-IE"/>
                <w14:ligatures w14:val="none"/>
              </w:rPr>
            </w:pPr>
          </w:p>
          <w:p w14:paraId="2A9FBA66" w14:textId="77777777" w:rsidR="005C37A0" w:rsidRPr="00F905F4" w:rsidRDefault="005C37A0" w:rsidP="00066936">
            <w:pPr>
              <w:spacing w:before="240" w:after="240" w:line="240" w:lineRule="auto"/>
              <w:jc w:val="both"/>
              <w:rPr>
                <w:rFonts w:ascii="Times New Roman" w:eastAsia="Times New Roman" w:hAnsi="Times New Roman" w:cs="Times New Roman"/>
                <w:kern w:val="0"/>
                <w:sz w:val="24"/>
                <w:szCs w:val="24"/>
                <w:lang w:eastAsia="en-IE"/>
                <w14:ligatures w14:val="none"/>
              </w:rPr>
            </w:pPr>
          </w:p>
          <w:p w14:paraId="4AB5CC4B" w14:textId="77777777" w:rsidR="005C37A0" w:rsidRPr="00F905F4" w:rsidRDefault="005C37A0" w:rsidP="00066936">
            <w:pPr>
              <w:spacing w:before="240" w:after="240" w:line="240" w:lineRule="auto"/>
              <w:jc w:val="both"/>
              <w:rPr>
                <w:rFonts w:ascii="Times New Roman" w:eastAsia="Times New Roman" w:hAnsi="Times New Roman" w:cs="Times New Roman"/>
                <w:kern w:val="0"/>
                <w:sz w:val="24"/>
                <w:szCs w:val="24"/>
                <w:lang w:eastAsia="en-IE"/>
                <w14:ligatures w14:val="none"/>
              </w:rPr>
            </w:pPr>
          </w:p>
          <w:p w14:paraId="792E2910" w14:textId="270C99F5" w:rsidR="005C37A0" w:rsidRPr="00F905F4" w:rsidRDefault="005C37A0" w:rsidP="00066936">
            <w:pPr>
              <w:spacing w:before="240" w:after="240" w:line="240" w:lineRule="auto"/>
              <w:jc w:val="both"/>
              <w:rPr>
                <w:rFonts w:ascii="Times New Roman" w:eastAsia="Times New Roman" w:hAnsi="Times New Roman" w:cs="Times New Roman"/>
                <w:kern w:val="0"/>
                <w:sz w:val="24"/>
                <w:szCs w:val="24"/>
                <w:lang w:eastAsia="en-IE"/>
                <w14:ligatures w14:val="none"/>
              </w:rPr>
            </w:pPr>
          </w:p>
        </w:tc>
        <w:tc>
          <w:tcPr>
            <w:tcW w:w="2800" w:type="dxa"/>
            <w:tcBorders>
              <w:top w:val="single" w:sz="4" w:space="0" w:color="auto"/>
              <w:left w:val="single" w:sz="4" w:space="0" w:color="auto"/>
              <w:bottom w:val="single" w:sz="4" w:space="0" w:color="auto"/>
              <w:right w:val="single" w:sz="4" w:space="0" w:color="auto"/>
            </w:tcBorders>
            <w:noWrap/>
            <w:vAlign w:val="center"/>
          </w:tcPr>
          <w:p w14:paraId="7AEA5640"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AFBD6CE"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20F8E643"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28A81ADB" w14:textId="74556360" w:rsidR="005C37A0" w:rsidRPr="00F905F4" w:rsidRDefault="005C37A0" w:rsidP="00637AB3">
            <w:pPr>
              <w:spacing w:after="0" w:line="240" w:lineRule="auto"/>
              <w:rPr>
                <w:rFonts w:ascii="Times New Roman" w:eastAsia="Calibri" w:hAnsi="Times New Roman" w:cs="Times New Roman"/>
                <w:color w:val="000000"/>
                <w:kern w:val="0"/>
                <w:sz w:val="24"/>
                <w:szCs w:val="24"/>
                <w14:ligatures w14:val="none"/>
              </w:rPr>
            </w:pPr>
            <w:r w:rsidRPr="000F4504">
              <w:rPr>
                <w:rFonts w:ascii="Times New Roman" w:eastAsia="Times New Roman" w:hAnsi="Times New Roman" w:cs="Times New Roman"/>
                <w:b/>
                <w:bCs/>
                <w:kern w:val="0"/>
                <w:sz w:val="24"/>
                <w:szCs w:val="24"/>
                <w:lang w:eastAsia="en-IE"/>
                <w14:ligatures w14:val="none"/>
              </w:rPr>
              <w:t>1.1.7</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FEB4D15" w14:textId="29B62871"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0F4504">
              <w:rPr>
                <w:rFonts w:ascii="Times New Roman" w:eastAsia="Times New Roman" w:hAnsi="Times New Roman" w:cs="Times New Roman"/>
                <w:b/>
                <w:bCs/>
                <w:kern w:val="0"/>
                <w:sz w:val="24"/>
                <w:szCs w:val="24"/>
                <w:lang w:eastAsia="en-IE"/>
                <w14:ligatures w14:val="none"/>
              </w:rPr>
              <w:t>Command, Control and Support</w:t>
            </w:r>
          </w:p>
        </w:tc>
      </w:tr>
      <w:tr w:rsidR="006B41E7" w:rsidRPr="00F905F4" w14:paraId="5AD099D5"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07A664B2" w14:textId="34CB8591" w:rsidR="006B41E7" w:rsidRPr="00F905F4" w:rsidRDefault="00AA3DA9" w:rsidP="00637AB3">
            <w:pPr>
              <w:spacing w:after="0" w:line="240" w:lineRule="auto"/>
              <w:rPr>
                <w:rFonts w:ascii="Times New Roman" w:eastAsia="Calibri" w:hAnsi="Times New Roman" w:cs="Times New Roman"/>
                <w:color w:val="000000"/>
                <w:kern w:val="0"/>
                <w:sz w:val="24"/>
                <w:szCs w:val="24"/>
                <w14:ligatures w14:val="none"/>
              </w:rPr>
            </w:pPr>
            <w:r w:rsidRPr="00AA3DA9">
              <w:rPr>
                <w:rFonts w:ascii="Times New Roman" w:eastAsia="Times New Roman" w:hAnsi="Times New Roman" w:cs="Times New Roman"/>
                <w:kern w:val="0"/>
                <w:sz w:val="24"/>
                <w:szCs w:val="24"/>
                <w:lang w:eastAsia="en-IE"/>
                <w14:ligatures w14:val="none"/>
              </w:rPr>
              <w:t>1.1.7 (1)</w:t>
            </w:r>
          </w:p>
        </w:tc>
        <w:tc>
          <w:tcPr>
            <w:tcW w:w="5766" w:type="dxa"/>
            <w:tcBorders>
              <w:top w:val="single" w:sz="4" w:space="0" w:color="auto"/>
              <w:left w:val="single" w:sz="4" w:space="0" w:color="auto"/>
              <w:bottom w:val="single" w:sz="4" w:space="0" w:color="auto"/>
              <w:right w:val="single" w:sz="4" w:space="0" w:color="auto"/>
            </w:tcBorders>
            <w:vAlign w:val="center"/>
          </w:tcPr>
          <w:p w14:paraId="5479001C" w14:textId="11F9BCC5" w:rsidR="00AA3DA9" w:rsidRPr="00AA3DA9" w:rsidRDefault="00AA3DA9" w:rsidP="00AA3DA9">
            <w:p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All airborne and seaborne Capability Packages must come with Command, Control and Support enabling:</w:t>
            </w:r>
          </w:p>
          <w:p w14:paraId="410627F6"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Remote command, control and operation of the equipment and systems;</w:t>
            </w:r>
          </w:p>
          <w:p w14:paraId="2437D086"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Tethering for the purpose of energy supply and communications where required</w:t>
            </w:r>
          </w:p>
          <w:p w14:paraId="0C477B73"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Data fusion (from both on board sensors and from other sources), discrimination processing and display;</w:t>
            </w:r>
          </w:p>
          <w:p w14:paraId="2D57AB4B"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Adequate electrical energy supply and inherent quality to operate autonomously in remote areas without access to the electric grid, drawing on developments in renewable and alternative energy supply systems;</w:t>
            </w:r>
          </w:p>
          <w:p w14:paraId="17531EC9"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Adequate lighting in accordance with EN 12464-1:2021 (</w:t>
            </w:r>
            <w:r w:rsidRPr="00AA3DA9">
              <w:rPr>
                <w:rFonts w:ascii="Times New Roman" w:eastAsia="Times New Roman" w:hAnsi="Times New Roman" w:cs="Times New Roman"/>
                <w:kern w:val="0"/>
                <w:sz w:val="24"/>
                <w:szCs w:val="24"/>
                <w:vertAlign w:val="superscript"/>
                <w:lang w:eastAsia="en-IE"/>
                <w14:ligatures w14:val="none"/>
              </w:rPr>
              <w:footnoteReference w:id="4"/>
            </w:r>
            <w:r w:rsidRPr="00AA3DA9">
              <w:rPr>
                <w:rFonts w:ascii="Times New Roman" w:eastAsia="Times New Roman" w:hAnsi="Times New Roman" w:cs="Times New Roman"/>
                <w:kern w:val="0"/>
                <w:sz w:val="24"/>
                <w:szCs w:val="24"/>
                <w:lang w:eastAsia="en-IE"/>
                <w14:ligatures w14:val="none"/>
              </w:rPr>
              <w:t>);</w:t>
            </w:r>
          </w:p>
          <w:p w14:paraId="6AD0C3E2"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Secure communication systems (including for Satellite Communication), with capacity for live streaming;</w:t>
            </w:r>
          </w:p>
          <w:p w14:paraId="65F79E26" w14:textId="77777777" w:rsidR="00AA3DA9" w:rsidRPr="00AA3DA9" w:rsidRDefault="00AA3DA9" w:rsidP="00AA3DA9">
            <w:pPr>
              <w:numPr>
                <w:ilvl w:val="0"/>
                <w:numId w:val="1"/>
              </w:num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Adequate weather protection and heating, ventilation and air conditioning systems (HVAC) to ensure good overall working conditions;</w:t>
            </w:r>
          </w:p>
          <w:p w14:paraId="1571B7AA" w14:textId="6082E010" w:rsidR="006B41E7" w:rsidRPr="00F905F4" w:rsidRDefault="00AA3DA9" w:rsidP="00E82569">
            <w:pPr>
              <w:spacing w:before="240" w:after="240" w:line="240" w:lineRule="auto"/>
              <w:jc w:val="both"/>
              <w:rPr>
                <w:rFonts w:ascii="Times New Roman" w:eastAsia="Times New Roman" w:hAnsi="Times New Roman" w:cs="Times New Roman"/>
                <w:kern w:val="0"/>
                <w:sz w:val="24"/>
                <w:szCs w:val="24"/>
                <w:lang w:eastAsia="en-IE"/>
                <w14:ligatures w14:val="none"/>
              </w:rPr>
            </w:pPr>
            <w:r w:rsidRPr="00AA3DA9">
              <w:rPr>
                <w:rFonts w:ascii="Times New Roman" w:eastAsia="Times New Roman" w:hAnsi="Times New Roman" w:cs="Times New Roman"/>
                <w:kern w:val="0"/>
                <w:sz w:val="24"/>
                <w:szCs w:val="24"/>
                <w:lang w:eastAsia="en-IE"/>
                <w14:ligatures w14:val="none"/>
              </w:rPr>
              <w:t>Adequate workplace conditions for the operators to perform their tasks compliant with relevant EU legislation based on European Framework Directive (1989/391/EEC) (</w:t>
            </w:r>
            <w:r w:rsidRPr="00AA3DA9">
              <w:rPr>
                <w:rFonts w:ascii="Times New Roman" w:eastAsia="Times New Roman" w:hAnsi="Times New Roman" w:cs="Times New Roman"/>
                <w:kern w:val="0"/>
                <w:sz w:val="24"/>
                <w:szCs w:val="24"/>
                <w:vertAlign w:val="superscript"/>
                <w:lang w:eastAsia="en-IE"/>
                <w14:ligatures w14:val="none"/>
              </w:rPr>
              <w:footnoteReference w:id="5"/>
            </w:r>
            <w:r w:rsidRPr="00AA3DA9">
              <w:rPr>
                <w:rFonts w:ascii="Times New Roman" w:eastAsia="Times New Roman" w:hAnsi="Times New Roman" w:cs="Times New Roman"/>
                <w:kern w:val="0"/>
                <w:sz w:val="24"/>
                <w:szCs w:val="24"/>
                <w:lang w:eastAsia="en-IE"/>
                <w14:ligatures w14:val="none"/>
              </w:rPr>
              <w:t>) and its derivatives as well as established standards such as ISO 6385:2016 (</w:t>
            </w:r>
            <w:r w:rsidRPr="00AA3DA9">
              <w:rPr>
                <w:rFonts w:ascii="Times New Roman" w:eastAsia="Times New Roman" w:hAnsi="Times New Roman" w:cs="Times New Roman"/>
                <w:kern w:val="0"/>
                <w:sz w:val="24"/>
                <w:szCs w:val="24"/>
                <w:vertAlign w:val="superscript"/>
                <w:lang w:eastAsia="en-IE"/>
                <w14:ligatures w14:val="none"/>
              </w:rPr>
              <w:footnoteReference w:id="6"/>
            </w:r>
            <w:r w:rsidRPr="00AA3DA9">
              <w:rPr>
                <w:rFonts w:ascii="Times New Roman" w:eastAsia="Times New Roman" w:hAnsi="Times New Roman" w:cs="Times New Roman"/>
                <w:kern w:val="0"/>
                <w:sz w:val="24"/>
                <w:szCs w:val="24"/>
                <w:lang w:eastAsia="en-IE"/>
                <w14:ligatures w14:val="none"/>
              </w:rPr>
              <w:t>) and DEF-STAN 00-25 (</w:t>
            </w:r>
            <w:r w:rsidRPr="00AA3DA9">
              <w:rPr>
                <w:rFonts w:ascii="Times New Roman" w:eastAsia="Times New Roman" w:hAnsi="Times New Roman" w:cs="Times New Roman"/>
                <w:kern w:val="0"/>
                <w:sz w:val="24"/>
                <w:szCs w:val="24"/>
                <w:vertAlign w:val="superscript"/>
                <w:lang w:eastAsia="en-IE"/>
                <w14:ligatures w14:val="none"/>
              </w:rPr>
              <w:footnoteReference w:id="7"/>
            </w:r>
            <w:r w:rsidRPr="00AA3DA9">
              <w:rPr>
                <w:rFonts w:ascii="Times New Roman" w:eastAsia="Times New Roman" w:hAnsi="Times New Roman" w:cs="Times New Roman"/>
                <w:kern w:val="0"/>
                <w:sz w:val="24"/>
                <w:szCs w:val="24"/>
                <w:lang w:eastAsia="en-IE"/>
                <w14:ligatures w14:val="none"/>
              </w:rPr>
              <w:t>) where relevant.</w:t>
            </w:r>
          </w:p>
        </w:tc>
        <w:tc>
          <w:tcPr>
            <w:tcW w:w="2800" w:type="dxa"/>
            <w:tcBorders>
              <w:top w:val="single" w:sz="4" w:space="0" w:color="auto"/>
              <w:left w:val="single" w:sz="4" w:space="0" w:color="auto"/>
              <w:bottom w:val="single" w:sz="4" w:space="0" w:color="auto"/>
              <w:right w:val="single" w:sz="4" w:space="0" w:color="auto"/>
            </w:tcBorders>
            <w:noWrap/>
            <w:vAlign w:val="center"/>
          </w:tcPr>
          <w:p w14:paraId="469FB4AC"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77E301FF"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5C37A0" w:rsidRPr="00F905F4" w14:paraId="56BE76EE"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0FAA6682" w14:textId="60087649" w:rsidR="005C37A0" w:rsidRPr="00F905F4" w:rsidRDefault="005C37A0" w:rsidP="00637AB3">
            <w:pPr>
              <w:spacing w:after="0" w:line="240" w:lineRule="auto"/>
              <w:rPr>
                <w:rFonts w:ascii="Times New Roman" w:eastAsia="Calibri" w:hAnsi="Times New Roman" w:cs="Times New Roman"/>
                <w:b/>
                <w:bCs/>
                <w:color w:val="000000"/>
                <w:kern w:val="0"/>
                <w:sz w:val="24"/>
                <w:szCs w:val="24"/>
                <w14:ligatures w14:val="none"/>
              </w:rPr>
            </w:pPr>
            <w:r w:rsidRPr="00F905F4">
              <w:rPr>
                <w:rFonts w:ascii="Times New Roman" w:eastAsia="Calibri" w:hAnsi="Times New Roman" w:cs="Times New Roman"/>
                <w:b/>
                <w:bCs/>
                <w:color w:val="000000"/>
                <w:kern w:val="0"/>
                <w:sz w:val="24"/>
                <w:szCs w:val="24"/>
                <w14:ligatures w14:val="none"/>
              </w:rPr>
              <w:t>1.2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4081FF2" w14:textId="387CD482"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kern w:val="0"/>
                <w:sz w:val="24"/>
                <w:szCs w:val="24"/>
                <w:lang w:eastAsia="en-IE"/>
                <w14:ligatures w14:val="none"/>
              </w:rPr>
              <w:t>Environmental Conditions</w:t>
            </w:r>
          </w:p>
        </w:tc>
      </w:tr>
      <w:tr w:rsidR="005C37A0" w:rsidRPr="00F905F4" w14:paraId="3A8CAA37"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2371F33" w14:textId="2B98969A" w:rsidR="005C37A0" w:rsidRPr="00F905F4" w:rsidRDefault="005C37A0" w:rsidP="00637AB3">
            <w:pPr>
              <w:spacing w:after="0" w:line="240" w:lineRule="auto"/>
              <w:rPr>
                <w:rFonts w:ascii="Times New Roman" w:eastAsia="Calibri" w:hAnsi="Times New Roman" w:cs="Times New Roman"/>
                <w:color w:val="000000"/>
                <w:kern w:val="0"/>
                <w:sz w:val="24"/>
                <w:szCs w:val="24"/>
                <w14:ligatures w14:val="none"/>
              </w:rPr>
            </w:pPr>
            <w:r w:rsidRPr="000B0078">
              <w:rPr>
                <w:rFonts w:ascii="Times New Roman" w:eastAsia="Times New Roman" w:hAnsi="Times New Roman" w:cs="Times New Roman"/>
                <w:b/>
                <w:bCs/>
                <w:kern w:val="0"/>
                <w:sz w:val="24"/>
                <w:szCs w:val="24"/>
                <w:lang w:eastAsia="en-IE"/>
                <w14:ligatures w14:val="none"/>
              </w:rPr>
              <w:t>1.2.1</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48EEFA7" w14:textId="027D5AE3" w:rsidR="005C37A0" w:rsidRPr="00F905F4" w:rsidRDefault="005C37A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0B0078">
              <w:rPr>
                <w:rFonts w:ascii="Times New Roman" w:eastAsia="Times New Roman" w:hAnsi="Times New Roman" w:cs="Times New Roman"/>
                <w:b/>
                <w:bCs/>
                <w:kern w:val="0"/>
                <w:sz w:val="24"/>
                <w:szCs w:val="24"/>
                <w:lang w:eastAsia="en-IE"/>
                <w14:ligatures w14:val="none"/>
              </w:rPr>
              <w:t>Airborne</w:t>
            </w:r>
          </w:p>
        </w:tc>
      </w:tr>
      <w:tr w:rsidR="006B41E7" w:rsidRPr="00F905F4" w14:paraId="584533F5"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16AE3EF" w14:textId="27FCFC47" w:rsidR="006B41E7" w:rsidRPr="00F905F4" w:rsidRDefault="009C1185" w:rsidP="00637AB3">
            <w:pPr>
              <w:spacing w:after="0" w:line="240" w:lineRule="auto"/>
              <w:rPr>
                <w:rFonts w:ascii="Times New Roman" w:eastAsia="Calibri" w:hAnsi="Times New Roman" w:cs="Times New Roman"/>
                <w:color w:val="000000"/>
                <w:kern w:val="0"/>
                <w:sz w:val="24"/>
                <w:szCs w:val="24"/>
                <w14:ligatures w14:val="none"/>
              </w:rPr>
            </w:pPr>
            <w:r w:rsidRPr="009C1185">
              <w:rPr>
                <w:rFonts w:ascii="Times New Roman" w:eastAsia="Times New Roman" w:hAnsi="Times New Roman" w:cs="Times New Roman"/>
                <w:kern w:val="0"/>
                <w:sz w:val="24"/>
                <w:szCs w:val="24"/>
                <w:lang w:eastAsia="en-IE"/>
                <w14:ligatures w14:val="none"/>
              </w:rPr>
              <w:t>1.2.1 (1)</w:t>
            </w:r>
          </w:p>
        </w:tc>
        <w:tc>
          <w:tcPr>
            <w:tcW w:w="5766" w:type="dxa"/>
            <w:tcBorders>
              <w:top w:val="single" w:sz="4" w:space="0" w:color="auto"/>
              <w:left w:val="single" w:sz="4" w:space="0" w:color="auto"/>
              <w:bottom w:val="single" w:sz="4" w:space="0" w:color="auto"/>
              <w:right w:val="single" w:sz="4" w:space="0" w:color="auto"/>
            </w:tcBorders>
            <w:vAlign w:val="center"/>
          </w:tcPr>
          <w:p w14:paraId="15A06BA1" w14:textId="302F7735" w:rsidR="009C1185" w:rsidRPr="009C1185" w:rsidRDefault="009C1185" w:rsidP="009C1185">
            <w:p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The Capability Packages must be designed for use in the following natural environmental conditions equivalent to those described in DEF-STAN 00-35 (</w:t>
            </w:r>
            <w:r w:rsidRPr="009C1185">
              <w:rPr>
                <w:rFonts w:ascii="Times New Roman" w:eastAsia="Times New Roman" w:hAnsi="Times New Roman" w:cs="Times New Roman"/>
                <w:kern w:val="0"/>
                <w:sz w:val="24"/>
                <w:szCs w:val="24"/>
                <w:vertAlign w:val="superscript"/>
                <w:lang w:eastAsia="en-IE"/>
                <w14:ligatures w14:val="none"/>
              </w:rPr>
              <w:footnoteReference w:id="8"/>
            </w:r>
            <w:r w:rsidRPr="009C1185">
              <w:rPr>
                <w:rFonts w:ascii="Times New Roman" w:eastAsia="Times New Roman" w:hAnsi="Times New Roman" w:cs="Times New Roman"/>
                <w:kern w:val="0"/>
                <w:sz w:val="24"/>
                <w:szCs w:val="24"/>
                <w:lang w:eastAsia="en-IE"/>
                <w14:ligatures w14:val="none"/>
              </w:rPr>
              <w:t>).</w:t>
            </w:r>
          </w:p>
          <w:p w14:paraId="464DCED6" w14:textId="77777777" w:rsidR="009C1185" w:rsidRPr="009C1185" w:rsidRDefault="009C1185" w:rsidP="009C1185">
            <w:pPr>
              <w:numPr>
                <w:ilvl w:val="0"/>
                <w:numId w:val="6"/>
              </w:num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A2: Hot Dry</w:t>
            </w:r>
          </w:p>
          <w:p w14:paraId="3204CF4B" w14:textId="77777777" w:rsidR="009C1185" w:rsidRPr="009C1185" w:rsidRDefault="009C1185" w:rsidP="009C1185">
            <w:pPr>
              <w:numPr>
                <w:ilvl w:val="0"/>
                <w:numId w:val="6"/>
              </w:num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A3: Intermediate</w:t>
            </w:r>
          </w:p>
          <w:p w14:paraId="7D914B21" w14:textId="77777777" w:rsidR="009C1185" w:rsidRPr="009C1185" w:rsidRDefault="009C1185" w:rsidP="009C1185">
            <w:pPr>
              <w:numPr>
                <w:ilvl w:val="0"/>
                <w:numId w:val="6"/>
              </w:num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C0: Mild Cold</w:t>
            </w:r>
          </w:p>
          <w:p w14:paraId="49FC3DDA" w14:textId="77777777" w:rsidR="009C1185" w:rsidRPr="009C1185" w:rsidRDefault="009C1185" w:rsidP="009C1185">
            <w:pPr>
              <w:numPr>
                <w:ilvl w:val="0"/>
                <w:numId w:val="6"/>
              </w:num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C1: Intermediate Cold</w:t>
            </w:r>
          </w:p>
          <w:p w14:paraId="3CB72D81" w14:textId="3AC54B4F" w:rsidR="006B41E7" w:rsidRPr="00F905F4" w:rsidRDefault="009C1185" w:rsidP="000F3486">
            <w:pPr>
              <w:numPr>
                <w:ilvl w:val="0"/>
                <w:numId w:val="6"/>
              </w:numPr>
              <w:spacing w:before="240" w:after="240" w:line="240" w:lineRule="auto"/>
              <w:jc w:val="both"/>
              <w:rPr>
                <w:rFonts w:ascii="Times New Roman" w:eastAsia="Times New Roman" w:hAnsi="Times New Roman" w:cs="Times New Roman"/>
                <w:kern w:val="0"/>
                <w:sz w:val="24"/>
                <w:szCs w:val="24"/>
                <w:lang w:eastAsia="en-IE"/>
                <w14:ligatures w14:val="none"/>
              </w:rPr>
            </w:pPr>
            <w:r w:rsidRPr="009C1185">
              <w:rPr>
                <w:rFonts w:ascii="Times New Roman" w:eastAsia="Times New Roman" w:hAnsi="Times New Roman" w:cs="Times New Roman"/>
                <w:kern w:val="0"/>
                <w:sz w:val="24"/>
                <w:szCs w:val="24"/>
                <w:lang w:eastAsia="en-IE"/>
                <w14:ligatures w14:val="none"/>
              </w:rPr>
              <w:t>C2: Cold</w:t>
            </w:r>
          </w:p>
        </w:tc>
        <w:tc>
          <w:tcPr>
            <w:tcW w:w="2800" w:type="dxa"/>
            <w:tcBorders>
              <w:top w:val="single" w:sz="4" w:space="0" w:color="auto"/>
              <w:left w:val="single" w:sz="4" w:space="0" w:color="auto"/>
              <w:bottom w:val="single" w:sz="4" w:space="0" w:color="auto"/>
              <w:right w:val="single" w:sz="4" w:space="0" w:color="auto"/>
            </w:tcBorders>
            <w:noWrap/>
            <w:vAlign w:val="center"/>
          </w:tcPr>
          <w:p w14:paraId="5A5973FF"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34C3D814"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B41E7" w:rsidRPr="00F905F4" w14:paraId="750E346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71E71CC9" w14:textId="4E4CA733" w:rsidR="006B41E7" w:rsidRPr="00F905F4" w:rsidRDefault="002C4AF6" w:rsidP="00637AB3">
            <w:pPr>
              <w:spacing w:after="0" w:line="240" w:lineRule="auto"/>
              <w:rPr>
                <w:rFonts w:ascii="Times New Roman" w:eastAsia="Calibri" w:hAnsi="Times New Roman" w:cs="Times New Roman"/>
                <w:color w:val="000000"/>
                <w:kern w:val="0"/>
                <w:sz w:val="24"/>
                <w:szCs w:val="24"/>
                <w14:ligatures w14:val="none"/>
              </w:rPr>
            </w:pPr>
            <w:r w:rsidRPr="002C4AF6">
              <w:rPr>
                <w:rFonts w:ascii="Times New Roman" w:eastAsia="Times New Roman" w:hAnsi="Times New Roman" w:cs="Times New Roman"/>
                <w:kern w:val="0"/>
                <w:sz w:val="24"/>
                <w:szCs w:val="24"/>
                <w:lang w:eastAsia="en-IE"/>
                <w14:ligatures w14:val="none"/>
              </w:rPr>
              <w:t>1.2.1 (2)</w:t>
            </w:r>
          </w:p>
        </w:tc>
        <w:tc>
          <w:tcPr>
            <w:tcW w:w="5766" w:type="dxa"/>
            <w:tcBorders>
              <w:top w:val="single" w:sz="4" w:space="0" w:color="auto"/>
              <w:left w:val="single" w:sz="4" w:space="0" w:color="auto"/>
              <w:bottom w:val="single" w:sz="4" w:space="0" w:color="auto"/>
              <w:right w:val="single" w:sz="4" w:space="0" w:color="auto"/>
            </w:tcBorders>
            <w:vAlign w:val="center"/>
          </w:tcPr>
          <w:p w14:paraId="4A48429B" w14:textId="69F78988" w:rsidR="006B41E7" w:rsidRPr="00F905F4" w:rsidRDefault="002C4AF6" w:rsidP="000F3486">
            <w:pPr>
              <w:spacing w:before="240" w:after="240" w:line="240" w:lineRule="auto"/>
              <w:jc w:val="both"/>
              <w:rPr>
                <w:rFonts w:ascii="Times New Roman" w:eastAsia="Times New Roman" w:hAnsi="Times New Roman" w:cs="Times New Roman"/>
                <w:kern w:val="0"/>
                <w:sz w:val="24"/>
                <w:szCs w:val="24"/>
                <w:lang w:eastAsia="en-IE"/>
                <w14:ligatures w14:val="none"/>
              </w:rPr>
            </w:pPr>
            <w:r w:rsidRPr="002C4AF6">
              <w:rPr>
                <w:rFonts w:ascii="Times New Roman" w:eastAsia="Times New Roman" w:hAnsi="Times New Roman" w:cs="Times New Roman"/>
                <w:kern w:val="0"/>
                <w:sz w:val="24"/>
                <w:szCs w:val="24"/>
                <w:lang w:eastAsia="en-IE"/>
                <w14:ligatures w14:val="none"/>
              </w:rPr>
              <w:t>Measures must be taken to ensure that the respective Airborne Capability Package can adequately sustain operation with induced environmental conditions taking into account e.g. shock and vibration equivalent to what is given by DEF-STAN 00-35 and electro-magnetic environmental effects in line with MIL-STD 464 (</w:t>
            </w:r>
            <w:r w:rsidRPr="002C4AF6">
              <w:rPr>
                <w:rFonts w:ascii="Times New Roman" w:eastAsia="Times New Roman" w:hAnsi="Times New Roman" w:cs="Times New Roman"/>
                <w:kern w:val="0"/>
                <w:sz w:val="24"/>
                <w:szCs w:val="24"/>
                <w:vertAlign w:val="superscript"/>
                <w:lang w:eastAsia="en-IE"/>
                <w14:ligatures w14:val="none"/>
              </w:rPr>
              <w:footnoteReference w:id="9"/>
            </w:r>
            <w:r w:rsidRPr="002C4AF6">
              <w:rPr>
                <w:rFonts w:ascii="Times New Roman" w:eastAsia="Times New Roman" w:hAnsi="Times New Roman" w:cs="Times New Roman"/>
                <w:kern w:val="0"/>
                <w:sz w:val="24"/>
                <w:szCs w:val="24"/>
                <w:lang w:eastAsia="en-IE"/>
                <w14:ligatures w14:val="none"/>
              </w:rPr>
              <w:t>) or equivalent.</w:t>
            </w:r>
          </w:p>
        </w:tc>
        <w:tc>
          <w:tcPr>
            <w:tcW w:w="2800" w:type="dxa"/>
            <w:tcBorders>
              <w:top w:val="single" w:sz="4" w:space="0" w:color="auto"/>
              <w:left w:val="single" w:sz="4" w:space="0" w:color="auto"/>
              <w:bottom w:val="single" w:sz="4" w:space="0" w:color="auto"/>
              <w:right w:val="single" w:sz="4" w:space="0" w:color="auto"/>
            </w:tcBorders>
            <w:noWrap/>
            <w:vAlign w:val="center"/>
          </w:tcPr>
          <w:p w14:paraId="51300A40"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3B062034"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410FF086"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3CFCE7CD" w14:textId="59B105FB" w:rsidR="006A1D73" w:rsidRPr="00F905F4" w:rsidRDefault="006A1D73" w:rsidP="00637AB3">
            <w:pPr>
              <w:spacing w:after="0" w:line="240" w:lineRule="auto"/>
              <w:rPr>
                <w:rFonts w:ascii="Times New Roman" w:eastAsia="Calibri" w:hAnsi="Times New Roman" w:cs="Times New Roman"/>
                <w:b/>
                <w:bCs/>
                <w:color w:val="000000"/>
                <w:kern w:val="0"/>
                <w:sz w:val="24"/>
                <w:szCs w:val="24"/>
                <w14:ligatures w14:val="none"/>
              </w:rPr>
            </w:pPr>
            <w:r w:rsidRPr="00F905F4">
              <w:rPr>
                <w:rFonts w:ascii="Times New Roman" w:eastAsia="Calibri" w:hAnsi="Times New Roman" w:cs="Times New Roman"/>
                <w:b/>
                <w:bCs/>
                <w:color w:val="000000"/>
                <w:kern w:val="0"/>
                <w:sz w:val="24"/>
                <w:szCs w:val="24"/>
                <w14:ligatures w14:val="none"/>
              </w:rPr>
              <w:t>1.2.2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68A41ED" w14:textId="6CB632A4"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hAnsi="Times New Roman" w:cs="Times New Roman"/>
                <w:b/>
                <w:bCs/>
                <w:sz w:val="24"/>
                <w:szCs w:val="24"/>
              </w:rPr>
              <w:t>Seaborne</w:t>
            </w:r>
          </w:p>
        </w:tc>
      </w:tr>
      <w:tr w:rsidR="006B41E7" w:rsidRPr="00F905F4" w14:paraId="05093133"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B8B0CD7" w14:textId="3B17EF66" w:rsidR="006B41E7" w:rsidRPr="00F905F4" w:rsidRDefault="004A31AA" w:rsidP="00637AB3">
            <w:pPr>
              <w:spacing w:after="0" w:line="240" w:lineRule="auto"/>
              <w:rPr>
                <w:rFonts w:ascii="Times New Roman" w:eastAsia="Calibri" w:hAnsi="Times New Roman" w:cs="Times New Roman"/>
                <w:color w:val="000000"/>
                <w:kern w:val="0"/>
                <w:sz w:val="24"/>
                <w:szCs w:val="24"/>
                <w14:ligatures w14:val="none"/>
              </w:rPr>
            </w:pPr>
            <w:r w:rsidRPr="004A31AA">
              <w:rPr>
                <w:rFonts w:ascii="Times New Roman" w:eastAsia="Times New Roman" w:hAnsi="Times New Roman" w:cs="Times New Roman"/>
                <w:kern w:val="0"/>
                <w:sz w:val="24"/>
                <w:szCs w:val="24"/>
                <w:lang w:eastAsia="en-IE"/>
                <w14:ligatures w14:val="none"/>
              </w:rPr>
              <w:t>1.2.2 (1)</w:t>
            </w:r>
          </w:p>
        </w:tc>
        <w:tc>
          <w:tcPr>
            <w:tcW w:w="5766" w:type="dxa"/>
            <w:tcBorders>
              <w:top w:val="single" w:sz="4" w:space="0" w:color="auto"/>
              <w:left w:val="single" w:sz="4" w:space="0" w:color="auto"/>
              <w:bottom w:val="single" w:sz="4" w:space="0" w:color="auto"/>
              <w:right w:val="single" w:sz="4" w:space="0" w:color="auto"/>
            </w:tcBorders>
            <w:vAlign w:val="center"/>
          </w:tcPr>
          <w:p w14:paraId="24827852" w14:textId="77777777" w:rsidR="004A31AA" w:rsidRPr="004A31AA" w:rsidRDefault="004A31AA" w:rsidP="004A31AA">
            <w:pPr>
              <w:spacing w:after="240" w:line="240" w:lineRule="auto"/>
              <w:jc w:val="both"/>
              <w:rPr>
                <w:rFonts w:ascii="Times New Roman" w:eastAsia="Times New Roman" w:hAnsi="Times New Roman" w:cs="Times New Roman"/>
                <w:kern w:val="0"/>
                <w:sz w:val="24"/>
                <w:szCs w:val="24"/>
                <w:lang w:eastAsia="en-IE"/>
                <w14:ligatures w14:val="none"/>
              </w:rPr>
            </w:pPr>
            <w:r w:rsidRPr="004A31AA">
              <w:rPr>
                <w:rFonts w:ascii="Times New Roman" w:eastAsia="Times New Roman" w:hAnsi="Times New Roman" w:cs="Times New Roman"/>
                <w:kern w:val="0"/>
                <w:sz w:val="24"/>
                <w:szCs w:val="24"/>
                <w:lang w:eastAsia="en-IE"/>
                <w14:ligatures w14:val="none"/>
              </w:rPr>
              <w:t>The Capability Packages must be designed for use in the following natural environmental conditions equivalent to those described in DEF-STAN 00-35.</w:t>
            </w:r>
          </w:p>
          <w:p w14:paraId="3C4EB915" w14:textId="77777777" w:rsidR="004A31AA" w:rsidRPr="004A31AA" w:rsidRDefault="004A31AA" w:rsidP="004A31AA">
            <w:pPr>
              <w:numPr>
                <w:ilvl w:val="0"/>
                <w:numId w:val="6"/>
              </w:numPr>
              <w:spacing w:after="240" w:line="240" w:lineRule="auto"/>
              <w:jc w:val="both"/>
              <w:rPr>
                <w:rFonts w:ascii="Times New Roman" w:eastAsia="Times New Roman" w:hAnsi="Times New Roman" w:cs="Times New Roman"/>
                <w:kern w:val="0"/>
                <w:sz w:val="24"/>
                <w:szCs w:val="24"/>
                <w:lang w:eastAsia="en-IE"/>
                <w14:ligatures w14:val="none"/>
              </w:rPr>
            </w:pPr>
            <w:r w:rsidRPr="004A31AA">
              <w:rPr>
                <w:rFonts w:ascii="Times New Roman" w:eastAsia="Times New Roman" w:hAnsi="Times New Roman" w:cs="Times New Roman"/>
                <w:kern w:val="0"/>
                <w:sz w:val="24"/>
                <w:szCs w:val="24"/>
                <w:lang w:eastAsia="en-IE"/>
                <w14:ligatures w14:val="none"/>
              </w:rPr>
              <w:t>M2: Marine Intermediate;</w:t>
            </w:r>
          </w:p>
          <w:p w14:paraId="40784482" w14:textId="50F5FBE1" w:rsidR="006B41E7" w:rsidRPr="00F905F4" w:rsidRDefault="004A31AA" w:rsidP="000F3486">
            <w:pPr>
              <w:numPr>
                <w:ilvl w:val="0"/>
                <w:numId w:val="6"/>
              </w:numPr>
              <w:spacing w:after="240" w:line="240" w:lineRule="auto"/>
              <w:jc w:val="both"/>
              <w:rPr>
                <w:rFonts w:ascii="Times New Roman" w:eastAsia="Times New Roman" w:hAnsi="Times New Roman" w:cs="Times New Roman"/>
                <w:kern w:val="0"/>
                <w:sz w:val="24"/>
                <w:szCs w:val="24"/>
                <w:lang w:eastAsia="en-IE"/>
                <w14:ligatures w14:val="none"/>
              </w:rPr>
            </w:pPr>
            <w:r w:rsidRPr="004A31AA">
              <w:rPr>
                <w:rFonts w:ascii="Times New Roman" w:eastAsia="Times New Roman" w:hAnsi="Times New Roman" w:cs="Times New Roman"/>
                <w:kern w:val="0"/>
                <w:sz w:val="24"/>
                <w:szCs w:val="24"/>
                <w:lang w:eastAsia="en-IE"/>
                <w14:ligatures w14:val="none"/>
              </w:rPr>
              <w:t>M3: Marine Cold</w:t>
            </w:r>
          </w:p>
        </w:tc>
        <w:tc>
          <w:tcPr>
            <w:tcW w:w="2800" w:type="dxa"/>
            <w:tcBorders>
              <w:top w:val="single" w:sz="4" w:space="0" w:color="auto"/>
              <w:left w:val="single" w:sz="4" w:space="0" w:color="auto"/>
              <w:bottom w:val="single" w:sz="4" w:space="0" w:color="auto"/>
              <w:right w:val="single" w:sz="4" w:space="0" w:color="auto"/>
            </w:tcBorders>
            <w:noWrap/>
            <w:vAlign w:val="center"/>
          </w:tcPr>
          <w:p w14:paraId="60E9161A"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6901CC58"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B41E7" w:rsidRPr="00F905F4" w14:paraId="7D01B36B"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CB13437" w14:textId="3206B1B5" w:rsidR="006B41E7" w:rsidRPr="00F905F4" w:rsidRDefault="00C069D6" w:rsidP="00637AB3">
            <w:pPr>
              <w:spacing w:after="0" w:line="240" w:lineRule="auto"/>
              <w:rPr>
                <w:rFonts w:ascii="Times New Roman" w:eastAsia="Calibri" w:hAnsi="Times New Roman" w:cs="Times New Roman"/>
                <w:color w:val="000000"/>
                <w:kern w:val="0"/>
                <w:sz w:val="24"/>
                <w:szCs w:val="24"/>
                <w14:ligatures w14:val="none"/>
              </w:rPr>
            </w:pPr>
            <w:r w:rsidRPr="00C069D6">
              <w:rPr>
                <w:rFonts w:ascii="Times New Roman" w:eastAsia="Times New Roman" w:hAnsi="Times New Roman" w:cs="Times New Roman"/>
                <w:kern w:val="0"/>
                <w:sz w:val="24"/>
                <w:szCs w:val="24"/>
                <w:lang w:eastAsia="en-IE"/>
                <w14:ligatures w14:val="none"/>
              </w:rPr>
              <w:t>1.2.2 (2)</w:t>
            </w:r>
          </w:p>
        </w:tc>
        <w:tc>
          <w:tcPr>
            <w:tcW w:w="5766" w:type="dxa"/>
            <w:tcBorders>
              <w:top w:val="single" w:sz="4" w:space="0" w:color="auto"/>
              <w:left w:val="single" w:sz="4" w:space="0" w:color="auto"/>
              <w:bottom w:val="single" w:sz="4" w:space="0" w:color="auto"/>
              <w:right w:val="single" w:sz="4" w:space="0" w:color="auto"/>
            </w:tcBorders>
            <w:vAlign w:val="center"/>
          </w:tcPr>
          <w:p w14:paraId="14FC788F" w14:textId="77777777" w:rsidR="006B41E7" w:rsidRPr="00F905F4" w:rsidRDefault="00C069D6" w:rsidP="000F3486">
            <w:pPr>
              <w:spacing w:after="240" w:line="240" w:lineRule="auto"/>
              <w:jc w:val="both"/>
              <w:rPr>
                <w:rFonts w:ascii="Times New Roman" w:eastAsia="Times New Roman" w:hAnsi="Times New Roman" w:cs="Times New Roman"/>
                <w:kern w:val="0"/>
                <w:sz w:val="24"/>
                <w:szCs w:val="24"/>
                <w:lang w:eastAsia="en-IE"/>
                <w14:ligatures w14:val="none"/>
              </w:rPr>
            </w:pPr>
            <w:r w:rsidRPr="00C069D6">
              <w:rPr>
                <w:rFonts w:ascii="Times New Roman" w:eastAsia="Times New Roman" w:hAnsi="Times New Roman" w:cs="Times New Roman"/>
                <w:kern w:val="0"/>
                <w:sz w:val="24"/>
                <w:szCs w:val="24"/>
                <w:lang w:eastAsia="en-IE"/>
                <w14:ligatures w14:val="none"/>
              </w:rPr>
              <w:t>Measures must be taken to ensure that the respective Capability Packages can adequately sustain operation with induced environmental conditions taking into account e.g. shock and vibration equivalent to what is given by DEF-STAN 00-35 and electro-magnetic environmental effects in line with MIL-STD 464 or equivalent.</w:t>
            </w:r>
          </w:p>
          <w:p w14:paraId="70BF3F4C" w14:textId="77777777" w:rsidR="006A1D73" w:rsidRPr="00F905F4" w:rsidRDefault="006A1D73" w:rsidP="000F3486">
            <w:pPr>
              <w:spacing w:after="240" w:line="240" w:lineRule="auto"/>
              <w:jc w:val="both"/>
              <w:rPr>
                <w:rFonts w:ascii="Times New Roman" w:eastAsia="Times New Roman" w:hAnsi="Times New Roman" w:cs="Times New Roman"/>
                <w:kern w:val="0"/>
                <w:sz w:val="24"/>
                <w:szCs w:val="24"/>
                <w:lang w:eastAsia="en-IE"/>
                <w14:ligatures w14:val="none"/>
              </w:rPr>
            </w:pPr>
          </w:p>
          <w:p w14:paraId="452CEEC8" w14:textId="6B458A2B" w:rsidR="006A1D73" w:rsidRPr="00F905F4" w:rsidRDefault="006A1D73" w:rsidP="000F3486">
            <w:pPr>
              <w:spacing w:after="240" w:line="240" w:lineRule="auto"/>
              <w:jc w:val="both"/>
              <w:rPr>
                <w:rFonts w:ascii="Times New Roman" w:eastAsia="Times New Roman" w:hAnsi="Times New Roman" w:cs="Times New Roman"/>
                <w:kern w:val="0"/>
                <w:sz w:val="24"/>
                <w:szCs w:val="24"/>
                <w:lang w:eastAsia="en-IE"/>
                <w14:ligatures w14:val="none"/>
              </w:rPr>
            </w:pPr>
          </w:p>
        </w:tc>
        <w:tc>
          <w:tcPr>
            <w:tcW w:w="2800" w:type="dxa"/>
            <w:tcBorders>
              <w:top w:val="single" w:sz="4" w:space="0" w:color="auto"/>
              <w:left w:val="single" w:sz="4" w:space="0" w:color="auto"/>
              <w:bottom w:val="single" w:sz="4" w:space="0" w:color="auto"/>
              <w:right w:val="single" w:sz="4" w:space="0" w:color="auto"/>
            </w:tcBorders>
            <w:noWrap/>
            <w:vAlign w:val="center"/>
          </w:tcPr>
          <w:p w14:paraId="67D14F76"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63E255C8"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51F872F3"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454D00F0" w14:textId="2AAFF1F5" w:rsidR="006A1D73" w:rsidRPr="00F905F4" w:rsidRDefault="006A1D73" w:rsidP="00637AB3">
            <w:pPr>
              <w:spacing w:after="0" w:line="240" w:lineRule="auto"/>
              <w:rPr>
                <w:rFonts w:ascii="Times New Roman" w:eastAsia="Calibri" w:hAnsi="Times New Roman" w:cs="Times New Roman"/>
                <w:b/>
                <w:bCs/>
                <w:color w:val="000000"/>
                <w:kern w:val="0"/>
                <w:sz w:val="24"/>
                <w:szCs w:val="24"/>
                <w14:ligatures w14:val="none"/>
              </w:rPr>
            </w:pPr>
            <w:r w:rsidRPr="00F905F4">
              <w:rPr>
                <w:rFonts w:ascii="Times New Roman" w:eastAsia="Calibri" w:hAnsi="Times New Roman" w:cs="Times New Roman"/>
                <w:b/>
                <w:bCs/>
                <w:color w:val="000000"/>
                <w:kern w:val="0"/>
                <w:sz w:val="24"/>
                <w:szCs w:val="24"/>
                <w14:ligatures w14:val="none"/>
              </w:rPr>
              <w:t>1.3</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CF584E7" w14:textId="4ECDF29E"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bookmarkStart w:id="0" w:name="_Toc203404020"/>
            <w:r w:rsidRPr="00866778">
              <w:rPr>
                <w:rFonts w:ascii="Times New Roman" w:eastAsia="Times New Roman" w:hAnsi="Times New Roman" w:cs="Times New Roman"/>
                <w:b/>
                <w:kern w:val="0"/>
                <w:sz w:val="24"/>
                <w:szCs w:val="24"/>
                <w:lang w:eastAsia="en-IE"/>
                <w14:ligatures w14:val="none"/>
              </w:rPr>
              <w:t>Interoperability</w:t>
            </w:r>
            <w:bookmarkEnd w:id="0"/>
          </w:p>
        </w:tc>
      </w:tr>
      <w:tr w:rsidR="006B41E7" w:rsidRPr="00F905F4" w14:paraId="55AF46A0"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35EB6BC" w14:textId="7D7A6388" w:rsidR="006B41E7" w:rsidRPr="00F905F4" w:rsidRDefault="00095323" w:rsidP="00637AB3">
            <w:pPr>
              <w:spacing w:after="0" w:line="240" w:lineRule="auto"/>
              <w:rPr>
                <w:rFonts w:ascii="Times New Roman" w:eastAsia="Calibri" w:hAnsi="Times New Roman" w:cs="Times New Roman"/>
                <w:color w:val="000000"/>
                <w:kern w:val="0"/>
                <w:sz w:val="24"/>
                <w:szCs w:val="24"/>
                <w14:ligatures w14:val="none"/>
              </w:rPr>
            </w:pPr>
            <w:r w:rsidRPr="00F905F4">
              <w:rPr>
                <w:rFonts w:ascii="Times New Roman" w:eastAsia="Calibri" w:hAnsi="Times New Roman" w:cs="Times New Roman"/>
                <w:color w:val="000000"/>
                <w:kern w:val="0"/>
                <w:sz w:val="24"/>
                <w:szCs w:val="24"/>
                <w14:ligatures w14:val="none"/>
              </w:rPr>
              <w:t>1.3.1 (1)</w:t>
            </w:r>
          </w:p>
        </w:tc>
        <w:tc>
          <w:tcPr>
            <w:tcW w:w="5766" w:type="dxa"/>
            <w:tcBorders>
              <w:top w:val="single" w:sz="4" w:space="0" w:color="auto"/>
              <w:left w:val="single" w:sz="4" w:space="0" w:color="auto"/>
              <w:bottom w:val="single" w:sz="4" w:space="0" w:color="auto"/>
              <w:right w:val="single" w:sz="4" w:space="0" w:color="auto"/>
            </w:tcBorders>
            <w:vAlign w:val="center"/>
          </w:tcPr>
          <w:p w14:paraId="239517B3" w14:textId="71544D57" w:rsidR="006B41E7" w:rsidRPr="00F905F4" w:rsidRDefault="00095323" w:rsidP="000F3486">
            <w:pPr>
              <w:pStyle w:val="Text2"/>
              <w:ind w:left="0"/>
              <w:rPr>
                <w:szCs w:val="24"/>
              </w:rPr>
            </w:pPr>
            <w:r w:rsidRPr="00F905F4">
              <w:rPr>
                <w:szCs w:val="24"/>
              </w:rPr>
              <w:t>The Technical Specifications for the purchase of the Capability Packages under this Call should, wherever possible, make reference to internationally established standards to enhance clarity.</w:t>
            </w:r>
          </w:p>
        </w:tc>
        <w:tc>
          <w:tcPr>
            <w:tcW w:w="2800" w:type="dxa"/>
            <w:tcBorders>
              <w:top w:val="single" w:sz="4" w:space="0" w:color="auto"/>
              <w:left w:val="single" w:sz="4" w:space="0" w:color="auto"/>
              <w:bottom w:val="single" w:sz="4" w:space="0" w:color="auto"/>
              <w:right w:val="single" w:sz="4" w:space="0" w:color="auto"/>
            </w:tcBorders>
            <w:noWrap/>
            <w:vAlign w:val="center"/>
          </w:tcPr>
          <w:p w14:paraId="29BAF9DB"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5101982"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B41E7" w:rsidRPr="00F905F4" w14:paraId="26420400"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0353D05" w14:textId="34F51293" w:rsidR="006B41E7" w:rsidRPr="00F905F4" w:rsidRDefault="00306B52" w:rsidP="00637AB3">
            <w:pPr>
              <w:spacing w:after="0" w:line="240" w:lineRule="auto"/>
              <w:rPr>
                <w:rFonts w:ascii="Times New Roman" w:eastAsia="Calibri" w:hAnsi="Times New Roman" w:cs="Times New Roman"/>
                <w:color w:val="000000"/>
                <w:kern w:val="0"/>
                <w:sz w:val="24"/>
                <w:szCs w:val="24"/>
                <w14:ligatures w14:val="none"/>
              </w:rPr>
            </w:pPr>
            <w:r w:rsidRPr="00F905F4">
              <w:rPr>
                <w:rFonts w:ascii="Times New Roman" w:hAnsi="Times New Roman" w:cs="Times New Roman"/>
                <w:sz w:val="24"/>
                <w:szCs w:val="24"/>
              </w:rPr>
              <w:t>1.3.1 (2)</w:t>
            </w:r>
          </w:p>
        </w:tc>
        <w:tc>
          <w:tcPr>
            <w:tcW w:w="5766" w:type="dxa"/>
            <w:tcBorders>
              <w:top w:val="single" w:sz="4" w:space="0" w:color="auto"/>
              <w:left w:val="single" w:sz="4" w:space="0" w:color="auto"/>
              <w:bottom w:val="single" w:sz="4" w:space="0" w:color="auto"/>
              <w:right w:val="single" w:sz="4" w:space="0" w:color="auto"/>
            </w:tcBorders>
            <w:vAlign w:val="center"/>
          </w:tcPr>
          <w:p w14:paraId="5572BAF0" w14:textId="796CB800" w:rsidR="006B41E7" w:rsidRPr="00F905F4" w:rsidRDefault="00306B52" w:rsidP="000F3486">
            <w:pPr>
              <w:rPr>
                <w:rFonts w:ascii="Times New Roman" w:eastAsia="Times New Roman" w:hAnsi="Times New Roman" w:cs="Times New Roman"/>
                <w:kern w:val="0"/>
                <w:sz w:val="24"/>
                <w:szCs w:val="24"/>
                <w:lang w:eastAsia="en-IE"/>
                <w14:ligatures w14:val="none"/>
              </w:rPr>
            </w:pPr>
            <w:r w:rsidRPr="00F905F4">
              <w:rPr>
                <w:rFonts w:ascii="Times New Roman" w:hAnsi="Times New Roman" w:cs="Times New Roman"/>
                <w:sz w:val="24"/>
                <w:szCs w:val="24"/>
              </w:rPr>
              <w:t xml:space="preserve">The Technical Specifications must also address interoperability aspects related to deployments </w:t>
            </w:r>
            <w:r w:rsidRPr="0092712D">
              <w:rPr>
                <w:rFonts w:ascii="Times New Roman" w:hAnsi="Times New Roman" w:cs="Times New Roman"/>
                <w:sz w:val="24"/>
                <w:szCs w:val="24"/>
              </w:rPr>
              <w:t>in</w:t>
            </w:r>
            <w:r w:rsidRPr="00F905F4">
              <w:rPr>
                <w:rFonts w:ascii="Times New Roman" w:hAnsi="Times New Roman" w:cs="Times New Roman"/>
                <w:sz w:val="24"/>
                <w:szCs w:val="24"/>
              </w:rPr>
              <w:t xml:space="preserve"> the Agency’s operational activities for e.g. energy supply and communications.</w:t>
            </w:r>
          </w:p>
        </w:tc>
        <w:tc>
          <w:tcPr>
            <w:tcW w:w="2800" w:type="dxa"/>
            <w:tcBorders>
              <w:top w:val="single" w:sz="4" w:space="0" w:color="auto"/>
              <w:left w:val="single" w:sz="4" w:space="0" w:color="auto"/>
              <w:bottom w:val="single" w:sz="4" w:space="0" w:color="auto"/>
              <w:right w:val="single" w:sz="4" w:space="0" w:color="auto"/>
            </w:tcBorders>
            <w:noWrap/>
            <w:vAlign w:val="center"/>
          </w:tcPr>
          <w:p w14:paraId="2D7A6606"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BA8D00B"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367C7AE8"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4DA02AD9" w14:textId="5E3B7F4F" w:rsidR="006A1D73" w:rsidRPr="00F905F4" w:rsidRDefault="006A1D73" w:rsidP="00637AB3">
            <w:pPr>
              <w:spacing w:after="0" w:line="240" w:lineRule="auto"/>
              <w:rPr>
                <w:rFonts w:ascii="Times New Roman" w:eastAsia="Calibri" w:hAnsi="Times New Roman" w:cs="Times New Roman"/>
                <w:b/>
                <w:bCs/>
                <w:color w:val="000000"/>
                <w:kern w:val="0"/>
                <w:sz w:val="24"/>
                <w:szCs w:val="24"/>
                <w14:ligatures w14:val="none"/>
              </w:rPr>
            </w:pPr>
            <w:r w:rsidRPr="00F905F4">
              <w:rPr>
                <w:rFonts w:ascii="Times New Roman" w:eastAsia="Calibri" w:hAnsi="Times New Roman" w:cs="Times New Roman"/>
                <w:b/>
                <w:bCs/>
                <w:color w:val="000000"/>
                <w:kern w:val="0"/>
                <w:sz w:val="24"/>
                <w:szCs w:val="24"/>
                <w14:ligatures w14:val="none"/>
              </w:rPr>
              <w:t>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F1D6A1B" w14:textId="7F16609C" w:rsidR="006A1D73" w:rsidRPr="00F905F4" w:rsidRDefault="00005EE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005EE5">
              <w:rPr>
                <w:rFonts w:ascii="Times New Roman" w:eastAsia="Times New Roman" w:hAnsi="Times New Roman" w:cs="Times New Roman"/>
                <w:b/>
                <w:kern w:val="0"/>
                <w:sz w:val="24"/>
                <w:szCs w:val="24"/>
                <w:lang w:eastAsia="en-IE"/>
                <w14:ligatures w14:val="none"/>
              </w:rPr>
              <w:t>AVAILABILITY</w:t>
            </w:r>
          </w:p>
        </w:tc>
      </w:tr>
      <w:tr w:rsidR="006A1D73" w:rsidRPr="00F905F4" w14:paraId="75149FFC"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3E57781" w14:textId="56B5CD0F" w:rsidR="006A1D73" w:rsidRPr="00F905F4" w:rsidRDefault="006A1D73" w:rsidP="00637AB3">
            <w:pPr>
              <w:spacing w:after="0" w:line="240" w:lineRule="auto"/>
              <w:rPr>
                <w:rFonts w:ascii="Times New Roman" w:eastAsia="Calibri" w:hAnsi="Times New Roman" w:cs="Times New Roman"/>
                <w:b/>
                <w:bCs/>
                <w:color w:val="000000"/>
                <w:kern w:val="0"/>
                <w:sz w:val="24"/>
                <w:szCs w:val="24"/>
                <w14:ligatures w14:val="none"/>
              </w:rPr>
            </w:pPr>
            <w:r w:rsidRPr="00F905F4">
              <w:rPr>
                <w:rFonts w:ascii="Times New Roman" w:eastAsia="Calibri" w:hAnsi="Times New Roman" w:cs="Times New Roman"/>
                <w:b/>
                <w:bCs/>
                <w:color w:val="000000"/>
                <w:kern w:val="0"/>
                <w:sz w:val="24"/>
                <w:szCs w:val="24"/>
                <w14:ligatures w14:val="none"/>
              </w:rPr>
              <w:t>2.1</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547F87D" w14:textId="3679A44C"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bookmarkStart w:id="1" w:name="_Toc203404022"/>
            <w:r w:rsidRPr="00D6397A">
              <w:rPr>
                <w:rFonts w:ascii="Times New Roman" w:eastAsia="Times New Roman" w:hAnsi="Times New Roman" w:cs="Times New Roman"/>
                <w:b/>
                <w:kern w:val="0"/>
                <w:sz w:val="24"/>
                <w:szCs w:val="24"/>
                <w:lang w:eastAsia="en-IE"/>
                <w14:ligatures w14:val="none"/>
              </w:rPr>
              <w:t>Strategic</w:t>
            </w:r>
            <w:bookmarkEnd w:id="1"/>
          </w:p>
        </w:tc>
      </w:tr>
      <w:tr w:rsidR="006B41E7" w:rsidRPr="00F905F4" w14:paraId="66D3670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34A78D0" w14:textId="542BD23B" w:rsidR="006B41E7" w:rsidRPr="00F905F4" w:rsidRDefault="00FC7AB0" w:rsidP="00637AB3">
            <w:pPr>
              <w:spacing w:after="0" w:line="240" w:lineRule="auto"/>
              <w:rPr>
                <w:rFonts w:ascii="Times New Roman" w:eastAsia="Calibri" w:hAnsi="Times New Roman" w:cs="Times New Roman"/>
                <w:color w:val="000000"/>
                <w:kern w:val="0"/>
                <w:sz w:val="24"/>
                <w:szCs w:val="24"/>
                <w14:ligatures w14:val="none"/>
              </w:rPr>
            </w:pPr>
            <w:r w:rsidRPr="00FC7AB0">
              <w:rPr>
                <w:rFonts w:ascii="Times New Roman" w:eastAsia="Times New Roman" w:hAnsi="Times New Roman" w:cs="Times New Roman"/>
                <w:kern w:val="0"/>
                <w:sz w:val="24"/>
                <w:szCs w:val="24"/>
                <w:lang w:eastAsia="en-IE"/>
                <w14:ligatures w14:val="none"/>
              </w:rPr>
              <w:t>2.1.1</w:t>
            </w:r>
          </w:p>
        </w:tc>
        <w:tc>
          <w:tcPr>
            <w:tcW w:w="5766" w:type="dxa"/>
            <w:tcBorders>
              <w:top w:val="single" w:sz="4" w:space="0" w:color="auto"/>
              <w:left w:val="single" w:sz="4" w:space="0" w:color="auto"/>
              <w:bottom w:val="single" w:sz="4" w:space="0" w:color="auto"/>
              <w:right w:val="single" w:sz="4" w:space="0" w:color="auto"/>
            </w:tcBorders>
            <w:vAlign w:val="center"/>
          </w:tcPr>
          <w:p w14:paraId="4B099D8D" w14:textId="41860B3F" w:rsidR="006B41E7" w:rsidRPr="00F905F4" w:rsidRDefault="00FC7AB0" w:rsidP="000F3486">
            <w:pPr>
              <w:spacing w:after="240" w:line="240" w:lineRule="auto"/>
              <w:jc w:val="both"/>
              <w:rPr>
                <w:rFonts w:ascii="Times New Roman" w:eastAsia="Times New Roman" w:hAnsi="Times New Roman" w:cs="Times New Roman"/>
                <w:kern w:val="0"/>
                <w:sz w:val="24"/>
                <w:szCs w:val="24"/>
                <w:lang w:eastAsia="en-IE"/>
                <w14:ligatures w14:val="none"/>
              </w:rPr>
            </w:pPr>
            <w:r w:rsidRPr="00FC7AB0">
              <w:rPr>
                <w:rFonts w:ascii="Times New Roman" w:eastAsia="Times New Roman" w:hAnsi="Times New Roman" w:cs="Times New Roman"/>
                <w:kern w:val="0"/>
                <w:sz w:val="24"/>
                <w:szCs w:val="24"/>
                <w:lang w:eastAsia="en-IE"/>
                <w14:ligatures w14:val="none"/>
              </w:rPr>
              <w:t>Key enabling requirements for e.g. crews, training and logistics – effectively addressing all the Agency’s Capability Lines of Development (</w:t>
            </w:r>
            <w:r w:rsidRPr="00FC7AB0">
              <w:rPr>
                <w:rFonts w:ascii="Times New Roman" w:eastAsia="Times New Roman" w:hAnsi="Times New Roman" w:cs="Times New Roman"/>
                <w:kern w:val="0"/>
                <w:sz w:val="24"/>
                <w:szCs w:val="24"/>
                <w:vertAlign w:val="superscript"/>
                <w:lang w:eastAsia="en-IE"/>
                <w14:ligatures w14:val="none"/>
              </w:rPr>
              <w:footnoteReference w:id="10"/>
            </w:r>
            <w:r w:rsidRPr="00FC7AB0">
              <w:rPr>
                <w:rFonts w:ascii="Times New Roman" w:eastAsia="Times New Roman" w:hAnsi="Times New Roman" w:cs="Times New Roman"/>
                <w:kern w:val="0"/>
                <w:sz w:val="24"/>
                <w:szCs w:val="24"/>
                <w:lang w:eastAsia="en-IE"/>
                <w14:ligatures w14:val="none"/>
              </w:rPr>
              <w:t>) - must be defined and timely actioned in order to ensure that the equipment purchased under this call is made available to the Technical Equipment Pool and subsequently deployed once the acquisition process has been concluded.</w:t>
            </w:r>
          </w:p>
        </w:tc>
        <w:tc>
          <w:tcPr>
            <w:tcW w:w="2800" w:type="dxa"/>
            <w:tcBorders>
              <w:top w:val="single" w:sz="4" w:space="0" w:color="auto"/>
              <w:left w:val="single" w:sz="4" w:space="0" w:color="auto"/>
              <w:bottom w:val="single" w:sz="4" w:space="0" w:color="auto"/>
              <w:right w:val="single" w:sz="4" w:space="0" w:color="auto"/>
            </w:tcBorders>
            <w:noWrap/>
            <w:vAlign w:val="center"/>
          </w:tcPr>
          <w:p w14:paraId="4AEE09D5"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28FC0187" w14:textId="77777777" w:rsidR="006B41E7" w:rsidRPr="00F905F4" w:rsidRDefault="006B41E7"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FC7AB0" w:rsidRPr="00F905F4" w14:paraId="37A0728B"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78EB4D8" w14:textId="692CECD5" w:rsidR="00FC7AB0" w:rsidRPr="00F905F4" w:rsidRDefault="00920F79" w:rsidP="00637AB3">
            <w:pPr>
              <w:spacing w:after="0" w:line="240" w:lineRule="auto"/>
              <w:rPr>
                <w:rFonts w:ascii="Times New Roman" w:eastAsia="Times New Roman" w:hAnsi="Times New Roman" w:cs="Times New Roman"/>
                <w:kern w:val="0"/>
                <w:sz w:val="24"/>
                <w:szCs w:val="24"/>
                <w:lang w:eastAsia="en-IE"/>
                <w14:ligatures w14:val="none"/>
              </w:rPr>
            </w:pPr>
            <w:r w:rsidRPr="00920F79">
              <w:rPr>
                <w:rFonts w:ascii="Times New Roman" w:eastAsia="Times New Roman" w:hAnsi="Times New Roman" w:cs="Times New Roman"/>
                <w:kern w:val="0"/>
                <w:sz w:val="24"/>
                <w:szCs w:val="24"/>
                <w:lang w:eastAsia="en-IE"/>
                <w14:ligatures w14:val="none"/>
              </w:rPr>
              <w:t>2.1.2</w:t>
            </w:r>
          </w:p>
        </w:tc>
        <w:tc>
          <w:tcPr>
            <w:tcW w:w="5766" w:type="dxa"/>
            <w:tcBorders>
              <w:top w:val="single" w:sz="4" w:space="0" w:color="auto"/>
              <w:left w:val="single" w:sz="4" w:space="0" w:color="auto"/>
              <w:bottom w:val="single" w:sz="4" w:space="0" w:color="auto"/>
              <w:right w:val="single" w:sz="4" w:space="0" w:color="auto"/>
            </w:tcBorders>
            <w:vAlign w:val="center"/>
          </w:tcPr>
          <w:p w14:paraId="4BD4721E" w14:textId="110ABCC6" w:rsidR="00920F79" w:rsidRPr="00920F79" w:rsidRDefault="00920F79" w:rsidP="00920F79">
            <w:pPr>
              <w:spacing w:before="120" w:after="120" w:line="260" w:lineRule="exact"/>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 xml:space="preserve">The Technical Specifications for the equipment to be </w:t>
            </w:r>
            <w:r w:rsidR="00F11583">
              <w:rPr>
                <w:rFonts w:ascii="Times New Roman" w:eastAsia="Calibri" w:hAnsi="Times New Roman" w:cs="Times New Roman"/>
                <w:color w:val="000000"/>
                <w:kern w:val="0"/>
                <w:sz w:val="24"/>
                <w:szCs w:val="24"/>
                <w14:ligatures w14:val="none"/>
              </w:rPr>
              <w:t xml:space="preserve">purchased </w:t>
            </w:r>
            <w:r w:rsidRPr="00920F79">
              <w:rPr>
                <w:rFonts w:ascii="Times New Roman" w:eastAsia="Calibri" w:hAnsi="Times New Roman" w:cs="Times New Roman"/>
                <w:color w:val="000000"/>
                <w:kern w:val="0"/>
                <w:sz w:val="24"/>
                <w:szCs w:val="24"/>
                <w14:ligatures w14:val="none"/>
              </w:rPr>
              <w:t>under this Call must include requirements that mitigate risks to the Security of Supply, in particular with regard to:</w:t>
            </w:r>
          </w:p>
          <w:p w14:paraId="302ACE0E" w14:textId="77777777" w:rsidR="00920F79" w:rsidRPr="00920F79" w:rsidRDefault="00920F79" w:rsidP="00920F79">
            <w:pPr>
              <w:numPr>
                <w:ilvl w:val="0"/>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Supply chain dependencies stemming from outside the European Union in relation to e.g. –</w:t>
            </w:r>
          </w:p>
          <w:p w14:paraId="752FAACD"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Intellectual Property rights;</w:t>
            </w:r>
          </w:p>
          <w:p w14:paraId="40B871C2"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Energy supply, and in particular dependencies on fossil fuels;</w:t>
            </w:r>
          </w:p>
          <w:p w14:paraId="7EF0FFE8"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Raw materials;</w:t>
            </w:r>
          </w:p>
          <w:p w14:paraId="7E965EB7"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Technologies and techniques;</w:t>
            </w:r>
          </w:p>
          <w:p w14:paraId="69BC80FF"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Components;</w:t>
            </w:r>
          </w:p>
          <w:p w14:paraId="7FADB3D7"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Export control restrictions;</w:t>
            </w:r>
          </w:p>
          <w:p w14:paraId="45D92CF3" w14:textId="77777777" w:rsidR="00920F79" w:rsidRPr="00920F79" w:rsidRDefault="00920F79" w:rsidP="00920F79">
            <w:pPr>
              <w:numPr>
                <w:ilvl w:val="1"/>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Possible disruptions as a result of trade wars, pandemics and crisis including armed conflicts.</w:t>
            </w:r>
          </w:p>
          <w:p w14:paraId="379E4B35" w14:textId="77777777" w:rsidR="00920F79" w:rsidRPr="00920F79" w:rsidRDefault="00920F79" w:rsidP="00920F79">
            <w:pPr>
              <w:numPr>
                <w:ilvl w:val="0"/>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Single sourcing both from within and outside the European Union;</w:t>
            </w:r>
          </w:p>
          <w:p w14:paraId="4EB7FD6E" w14:textId="77777777" w:rsidR="00920F79" w:rsidRPr="00920F79" w:rsidRDefault="00920F79" w:rsidP="00920F79">
            <w:pPr>
              <w:numPr>
                <w:ilvl w:val="0"/>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Existing and possible future adverse Foreign Direct Investments in the different parts of the supply chains;</w:t>
            </w:r>
          </w:p>
          <w:p w14:paraId="03824240" w14:textId="77777777" w:rsidR="00920F79" w:rsidRPr="00920F79" w:rsidRDefault="00920F79" w:rsidP="00920F79">
            <w:pPr>
              <w:numPr>
                <w:ilvl w:val="0"/>
                <w:numId w:val="7"/>
              </w:numPr>
              <w:spacing w:before="120" w:after="120" w:line="260" w:lineRule="exact"/>
              <w:ind w:hanging="357"/>
              <w:jc w:val="both"/>
              <w:rPr>
                <w:rFonts w:ascii="Times New Roman" w:eastAsia="Calibri" w:hAnsi="Times New Roman" w:cs="Times New Roman"/>
                <w:color w:val="000000"/>
                <w:kern w:val="0"/>
                <w:sz w:val="24"/>
                <w:szCs w:val="24"/>
                <w14:ligatures w14:val="none"/>
              </w:rPr>
            </w:pPr>
            <w:r w:rsidRPr="00920F79">
              <w:rPr>
                <w:rFonts w:ascii="Times New Roman" w:eastAsia="Calibri" w:hAnsi="Times New Roman" w:cs="Times New Roman"/>
                <w:color w:val="000000"/>
                <w:kern w:val="0"/>
                <w:sz w:val="24"/>
                <w:szCs w:val="24"/>
                <w14:ligatures w14:val="none"/>
              </w:rPr>
              <w:t xml:space="preserve">Risks linked to the integrity of information especially for acquired and stored surveillance and positioning data in the context of security risks linked to the Internet-of-Things and the use of cloud-services, as well as those linked to compliance with applicable European Union law for Fundamental Rights and Data Protection; </w:t>
            </w:r>
          </w:p>
          <w:p w14:paraId="48BC96EA" w14:textId="25A659FC" w:rsidR="00FC7AB0" w:rsidRPr="00F905F4" w:rsidRDefault="00920F79" w:rsidP="006A1D73">
            <w:pPr>
              <w:numPr>
                <w:ilvl w:val="0"/>
                <w:numId w:val="7"/>
              </w:numPr>
              <w:spacing w:before="120" w:after="120" w:line="260" w:lineRule="exact"/>
              <w:ind w:hanging="357"/>
              <w:jc w:val="both"/>
              <w:rPr>
                <w:rFonts w:ascii="Times New Roman" w:eastAsia="Times New Roman" w:hAnsi="Times New Roman" w:cs="Times New Roman"/>
                <w:kern w:val="0"/>
                <w:sz w:val="24"/>
                <w:szCs w:val="24"/>
                <w:lang w:eastAsia="en-IE"/>
                <w14:ligatures w14:val="none"/>
              </w:rPr>
            </w:pPr>
            <w:r w:rsidRPr="00920F79">
              <w:rPr>
                <w:rFonts w:ascii="Times New Roman" w:eastAsia="Calibri" w:hAnsi="Times New Roman" w:cs="Times New Roman"/>
                <w:color w:val="000000"/>
                <w:kern w:val="0"/>
                <w:sz w:val="24"/>
                <w:szCs w:val="24"/>
                <w14:ligatures w14:val="none"/>
              </w:rPr>
              <w:t>Evolving cyber threats.</w:t>
            </w:r>
          </w:p>
        </w:tc>
        <w:tc>
          <w:tcPr>
            <w:tcW w:w="2800" w:type="dxa"/>
            <w:tcBorders>
              <w:top w:val="single" w:sz="4" w:space="0" w:color="auto"/>
              <w:left w:val="single" w:sz="4" w:space="0" w:color="auto"/>
              <w:bottom w:val="single" w:sz="4" w:space="0" w:color="auto"/>
              <w:right w:val="single" w:sz="4" w:space="0" w:color="auto"/>
            </w:tcBorders>
            <w:noWrap/>
            <w:vAlign w:val="center"/>
          </w:tcPr>
          <w:p w14:paraId="05F65DB0" w14:textId="77777777" w:rsidR="00FC7AB0" w:rsidRPr="00F905F4" w:rsidRDefault="00FC7AB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774D1C6" w14:textId="77777777" w:rsidR="00FC7AB0" w:rsidRPr="00F905F4" w:rsidRDefault="00FC7AB0"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F9391D" w:rsidRPr="00F905F4" w14:paraId="6D22C3F6"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342BBE1" w14:textId="3E2BD205" w:rsidR="00F9391D" w:rsidRPr="00F905F4" w:rsidRDefault="00716525" w:rsidP="00637AB3">
            <w:pPr>
              <w:spacing w:after="0" w:line="240" w:lineRule="auto"/>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2.1.3</w:t>
            </w:r>
          </w:p>
        </w:tc>
        <w:tc>
          <w:tcPr>
            <w:tcW w:w="5766" w:type="dxa"/>
            <w:tcBorders>
              <w:top w:val="single" w:sz="4" w:space="0" w:color="auto"/>
              <w:left w:val="single" w:sz="4" w:space="0" w:color="auto"/>
              <w:bottom w:val="single" w:sz="4" w:space="0" w:color="auto"/>
              <w:right w:val="single" w:sz="4" w:space="0" w:color="auto"/>
            </w:tcBorders>
            <w:vAlign w:val="center"/>
          </w:tcPr>
          <w:p w14:paraId="022E5C8A" w14:textId="394FFCCE" w:rsidR="00F9391D" w:rsidRPr="00F905F4" w:rsidRDefault="00716525" w:rsidP="000F3486">
            <w:pPr>
              <w:pStyle w:val="Text2"/>
              <w:spacing w:before="240"/>
              <w:ind w:left="0"/>
              <w:rPr>
                <w:rFonts w:eastAsia="Calibri"/>
                <w:color w:val="000000"/>
                <w:szCs w:val="24"/>
              </w:rPr>
            </w:pPr>
            <w:r w:rsidRPr="00F905F4">
              <w:rPr>
                <w:szCs w:val="24"/>
              </w:rPr>
              <w:t>Once the equipment purchased under this Call has been registered in the Technical Equipment Pool, any relevant changes to the Lifecycle Management Plans for the whole Capability Package that may affect the projected multiannual operational availability will be shared with the Agency e.g. during the Annual Bilateral Negotiations.</w:t>
            </w:r>
          </w:p>
        </w:tc>
        <w:tc>
          <w:tcPr>
            <w:tcW w:w="2800" w:type="dxa"/>
            <w:tcBorders>
              <w:top w:val="single" w:sz="4" w:space="0" w:color="auto"/>
              <w:left w:val="single" w:sz="4" w:space="0" w:color="auto"/>
              <w:bottom w:val="single" w:sz="4" w:space="0" w:color="auto"/>
              <w:right w:val="single" w:sz="4" w:space="0" w:color="auto"/>
            </w:tcBorders>
            <w:noWrap/>
            <w:vAlign w:val="center"/>
          </w:tcPr>
          <w:p w14:paraId="47A0DDA5" w14:textId="77777777" w:rsidR="00F9391D" w:rsidRPr="00F905F4" w:rsidRDefault="00F9391D"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163CFAD" w14:textId="77777777" w:rsidR="00F9391D" w:rsidRPr="00F905F4" w:rsidRDefault="00F9391D"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716525" w:rsidRPr="00F905F4" w14:paraId="7BC1EE53"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9FC7DA8" w14:textId="5D53C7EF" w:rsidR="00716525" w:rsidRPr="00F905F4" w:rsidRDefault="008111BB" w:rsidP="00637AB3">
            <w:pPr>
              <w:spacing w:after="0" w:line="240" w:lineRule="auto"/>
              <w:rPr>
                <w:rFonts w:ascii="Times New Roman" w:eastAsia="Times New Roman" w:hAnsi="Times New Roman" w:cs="Times New Roman"/>
                <w:kern w:val="0"/>
                <w:sz w:val="24"/>
                <w:szCs w:val="24"/>
                <w:lang w:eastAsia="en-IE"/>
                <w14:ligatures w14:val="none"/>
              </w:rPr>
            </w:pPr>
            <w:r w:rsidRPr="008111BB">
              <w:rPr>
                <w:rFonts w:ascii="Times New Roman" w:eastAsia="Times New Roman" w:hAnsi="Times New Roman" w:cs="Times New Roman"/>
                <w:kern w:val="0"/>
                <w:sz w:val="24"/>
                <w:szCs w:val="24"/>
                <w:lang w:eastAsia="en-IE"/>
                <w14:ligatures w14:val="none"/>
              </w:rPr>
              <w:t>2.1.4</w:t>
            </w:r>
          </w:p>
        </w:tc>
        <w:tc>
          <w:tcPr>
            <w:tcW w:w="5766" w:type="dxa"/>
            <w:tcBorders>
              <w:top w:val="single" w:sz="4" w:space="0" w:color="auto"/>
              <w:left w:val="single" w:sz="4" w:space="0" w:color="auto"/>
              <w:bottom w:val="single" w:sz="4" w:space="0" w:color="auto"/>
              <w:right w:val="single" w:sz="4" w:space="0" w:color="auto"/>
            </w:tcBorders>
            <w:vAlign w:val="center"/>
          </w:tcPr>
          <w:p w14:paraId="266D79FD" w14:textId="34CF5B6A" w:rsidR="00716525" w:rsidRPr="00F905F4" w:rsidRDefault="008111BB" w:rsidP="000F3486">
            <w:pPr>
              <w:pStyle w:val="Text2"/>
              <w:spacing w:before="240"/>
              <w:ind w:left="0"/>
              <w:rPr>
                <w:szCs w:val="24"/>
              </w:rPr>
            </w:pPr>
            <w:r w:rsidRPr="008111BB">
              <w:rPr>
                <w:szCs w:val="24"/>
              </w:rPr>
              <w:t xml:space="preserve">The Technical Specifications drafted for the equipment to be purchased under this Call must ensure that there will be no contractual constraints, including in relation to warranty or similar, for its operation in the Agency’s operational activities. </w:t>
            </w:r>
          </w:p>
        </w:tc>
        <w:tc>
          <w:tcPr>
            <w:tcW w:w="2800" w:type="dxa"/>
            <w:tcBorders>
              <w:top w:val="single" w:sz="4" w:space="0" w:color="auto"/>
              <w:left w:val="single" w:sz="4" w:space="0" w:color="auto"/>
              <w:bottom w:val="single" w:sz="4" w:space="0" w:color="auto"/>
              <w:right w:val="single" w:sz="4" w:space="0" w:color="auto"/>
            </w:tcBorders>
            <w:noWrap/>
            <w:vAlign w:val="center"/>
          </w:tcPr>
          <w:p w14:paraId="50ED9E39"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6DBDD34"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CF072B" w:rsidRPr="00F905F4" w14:paraId="58E72792"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484CA94" w14:textId="0FB7BA37" w:rsidR="00CF072B" w:rsidRPr="008111BB" w:rsidRDefault="00CF072B" w:rsidP="00637AB3">
            <w:pPr>
              <w:spacing w:after="0" w:line="240" w:lineRule="auto"/>
              <w:rPr>
                <w:rFonts w:ascii="Times New Roman" w:eastAsia="Times New Roman" w:hAnsi="Times New Roman" w:cs="Times New Roman"/>
                <w:kern w:val="0"/>
                <w:sz w:val="24"/>
                <w:szCs w:val="24"/>
                <w:lang w:eastAsia="en-IE"/>
                <w14:ligatures w14:val="none"/>
              </w:rPr>
            </w:pPr>
            <w:r w:rsidRPr="00CF072B">
              <w:rPr>
                <w:rFonts w:ascii="Times New Roman" w:eastAsia="Times New Roman" w:hAnsi="Times New Roman" w:cs="Times New Roman"/>
                <w:kern w:val="0"/>
                <w:sz w:val="24"/>
                <w:szCs w:val="24"/>
                <w:lang w:eastAsia="en-IE"/>
                <w14:ligatures w14:val="none"/>
              </w:rPr>
              <w:t>2.1.5</w:t>
            </w:r>
          </w:p>
        </w:tc>
        <w:tc>
          <w:tcPr>
            <w:tcW w:w="5766" w:type="dxa"/>
            <w:tcBorders>
              <w:top w:val="single" w:sz="4" w:space="0" w:color="auto"/>
              <w:left w:val="single" w:sz="4" w:space="0" w:color="auto"/>
              <w:bottom w:val="single" w:sz="4" w:space="0" w:color="auto"/>
              <w:right w:val="single" w:sz="4" w:space="0" w:color="auto"/>
            </w:tcBorders>
            <w:vAlign w:val="center"/>
          </w:tcPr>
          <w:p w14:paraId="455C4796" w14:textId="3E720758" w:rsidR="00CF072B" w:rsidRPr="008111BB" w:rsidRDefault="00CF072B" w:rsidP="00CF072B">
            <w:pPr>
              <w:pStyle w:val="Text2"/>
              <w:spacing w:before="240"/>
              <w:ind w:left="0"/>
              <w:rPr>
                <w:szCs w:val="24"/>
              </w:rPr>
            </w:pPr>
            <w:r w:rsidRPr="00CF072B">
              <w:rPr>
                <w:szCs w:val="24"/>
              </w:rPr>
              <w:t>Equipment registered in the Technical Equipment Pool must be made available for a minimum period equal with half of the equipment lifespan.</w:t>
            </w:r>
          </w:p>
        </w:tc>
        <w:tc>
          <w:tcPr>
            <w:tcW w:w="2800" w:type="dxa"/>
            <w:tcBorders>
              <w:top w:val="single" w:sz="4" w:space="0" w:color="auto"/>
              <w:left w:val="single" w:sz="4" w:space="0" w:color="auto"/>
              <w:bottom w:val="single" w:sz="4" w:space="0" w:color="auto"/>
              <w:right w:val="single" w:sz="4" w:space="0" w:color="auto"/>
            </w:tcBorders>
            <w:noWrap/>
            <w:vAlign w:val="center"/>
          </w:tcPr>
          <w:p w14:paraId="00332BB3" w14:textId="77777777" w:rsidR="00CF072B" w:rsidRPr="00F905F4" w:rsidRDefault="00CF072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6201C36" w14:textId="77777777" w:rsidR="00CF072B" w:rsidRPr="00F905F4" w:rsidRDefault="00CF072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CF072B" w:rsidRPr="00F905F4" w14:paraId="4608F58A"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6E6001B" w14:textId="0B0EA48E" w:rsidR="00CF072B" w:rsidRPr="008111BB" w:rsidRDefault="00CF072B" w:rsidP="00637AB3">
            <w:pPr>
              <w:spacing w:after="0" w:line="240" w:lineRule="auto"/>
              <w:rPr>
                <w:rFonts w:ascii="Times New Roman" w:eastAsia="Times New Roman" w:hAnsi="Times New Roman" w:cs="Times New Roman"/>
                <w:kern w:val="0"/>
                <w:sz w:val="24"/>
                <w:szCs w:val="24"/>
                <w:lang w:eastAsia="en-IE"/>
                <w14:ligatures w14:val="none"/>
              </w:rPr>
            </w:pPr>
            <w:r w:rsidRPr="00CF072B">
              <w:rPr>
                <w:rFonts w:ascii="Times New Roman" w:eastAsia="Times New Roman" w:hAnsi="Times New Roman" w:cs="Times New Roman"/>
                <w:kern w:val="0"/>
                <w:sz w:val="24"/>
                <w:szCs w:val="24"/>
                <w:lang w:eastAsia="en-IE"/>
                <w14:ligatures w14:val="none"/>
              </w:rPr>
              <w:t>2.1.6</w:t>
            </w:r>
          </w:p>
        </w:tc>
        <w:tc>
          <w:tcPr>
            <w:tcW w:w="5766" w:type="dxa"/>
            <w:tcBorders>
              <w:top w:val="single" w:sz="4" w:space="0" w:color="auto"/>
              <w:left w:val="single" w:sz="4" w:space="0" w:color="auto"/>
              <w:bottom w:val="single" w:sz="4" w:space="0" w:color="auto"/>
              <w:right w:val="single" w:sz="4" w:space="0" w:color="auto"/>
            </w:tcBorders>
            <w:vAlign w:val="center"/>
          </w:tcPr>
          <w:p w14:paraId="309ECD26" w14:textId="379090EA" w:rsidR="00CF072B" w:rsidRPr="008111BB" w:rsidRDefault="00CF072B" w:rsidP="00CF072B">
            <w:pPr>
              <w:pStyle w:val="Text2"/>
              <w:spacing w:before="240"/>
              <w:ind w:left="0"/>
              <w:rPr>
                <w:szCs w:val="24"/>
              </w:rPr>
            </w:pPr>
            <w:r w:rsidRPr="00CF072B">
              <w:rPr>
                <w:szCs w:val="24"/>
              </w:rPr>
              <w:t>Equipment lifespan must be indicated when registering the equipment in the Technical Equipment Pool.</w:t>
            </w:r>
          </w:p>
        </w:tc>
        <w:tc>
          <w:tcPr>
            <w:tcW w:w="2800" w:type="dxa"/>
            <w:tcBorders>
              <w:top w:val="single" w:sz="4" w:space="0" w:color="auto"/>
              <w:left w:val="single" w:sz="4" w:space="0" w:color="auto"/>
              <w:bottom w:val="single" w:sz="4" w:space="0" w:color="auto"/>
              <w:right w:val="single" w:sz="4" w:space="0" w:color="auto"/>
            </w:tcBorders>
            <w:noWrap/>
            <w:vAlign w:val="center"/>
          </w:tcPr>
          <w:p w14:paraId="5730ED44" w14:textId="77777777" w:rsidR="00CF072B" w:rsidRPr="00F905F4" w:rsidRDefault="00CF072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B0B27F7" w14:textId="77777777" w:rsidR="00CF072B" w:rsidRPr="00F905F4" w:rsidRDefault="00CF072B"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3957ABC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7C868F59" w14:textId="7A7A3842"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2.2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BC61670" w14:textId="7CAD42CD"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bookmarkStart w:id="2" w:name="_Toc203404023"/>
            <w:r w:rsidRPr="005E4F2D">
              <w:rPr>
                <w:rFonts w:ascii="Times New Roman" w:hAnsi="Times New Roman" w:cs="Times New Roman"/>
                <w:b/>
                <w:sz w:val="24"/>
                <w:szCs w:val="24"/>
              </w:rPr>
              <w:t>Operational and Tactical</w:t>
            </w:r>
            <w:bookmarkEnd w:id="2"/>
          </w:p>
        </w:tc>
      </w:tr>
      <w:tr w:rsidR="00716525" w:rsidRPr="00F905F4" w14:paraId="0A5253FF"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73655950" w14:textId="05A77E9F" w:rsidR="00716525" w:rsidRPr="00F905F4" w:rsidRDefault="00E242D9" w:rsidP="00637AB3">
            <w:pPr>
              <w:spacing w:after="0" w:line="240" w:lineRule="auto"/>
              <w:rPr>
                <w:rFonts w:ascii="Times New Roman" w:eastAsia="Times New Roman" w:hAnsi="Times New Roman" w:cs="Times New Roman"/>
                <w:kern w:val="0"/>
                <w:sz w:val="24"/>
                <w:szCs w:val="24"/>
                <w:lang w:eastAsia="en-IE"/>
                <w14:ligatures w14:val="none"/>
              </w:rPr>
            </w:pPr>
            <w:r w:rsidRPr="00E242D9">
              <w:rPr>
                <w:rFonts w:ascii="Times New Roman" w:eastAsia="Times New Roman" w:hAnsi="Times New Roman" w:cs="Times New Roman"/>
                <w:kern w:val="0"/>
                <w:sz w:val="24"/>
                <w:szCs w:val="24"/>
                <w:lang w:eastAsia="en-IE"/>
                <w14:ligatures w14:val="none"/>
              </w:rPr>
              <w:t>2.2.1</w:t>
            </w:r>
          </w:p>
        </w:tc>
        <w:tc>
          <w:tcPr>
            <w:tcW w:w="5766" w:type="dxa"/>
            <w:tcBorders>
              <w:top w:val="single" w:sz="4" w:space="0" w:color="auto"/>
              <w:left w:val="single" w:sz="4" w:space="0" w:color="auto"/>
              <w:bottom w:val="single" w:sz="4" w:space="0" w:color="auto"/>
              <w:right w:val="single" w:sz="4" w:space="0" w:color="auto"/>
            </w:tcBorders>
            <w:vAlign w:val="center"/>
          </w:tcPr>
          <w:p w14:paraId="12204D79" w14:textId="08430B7B" w:rsidR="00716525" w:rsidRPr="00F905F4" w:rsidRDefault="00E242D9" w:rsidP="000F3486">
            <w:pPr>
              <w:spacing w:after="240" w:line="240" w:lineRule="auto"/>
              <w:jc w:val="both"/>
              <w:rPr>
                <w:rFonts w:ascii="Times New Roman" w:hAnsi="Times New Roman" w:cs="Times New Roman"/>
                <w:sz w:val="24"/>
                <w:szCs w:val="24"/>
              </w:rPr>
            </w:pPr>
            <w:r w:rsidRPr="00E242D9">
              <w:rPr>
                <w:rFonts w:ascii="Times New Roman" w:eastAsia="Times New Roman" w:hAnsi="Times New Roman" w:cs="Times New Roman"/>
                <w:kern w:val="0"/>
                <w:sz w:val="24"/>
                <w:szCs w:val="24"/>
                <w:lang w:eastAsia="en-IE"/>
                <w14:ligatures w14:val="none"/>
              </w:rPr>
              <w:t>Integrated Logistic Support for the entire lifecycle must be employed.</w:t>
            </w:r>
            <w:r w:rsidR="000F3486" w:rsidRPr="00F905F4">
              <w:rPr>
                <w:rFonts w:ascii="Times New Roman" w:eastAsia="Times New Roman" w:hAnsi="Times New Roman" w:cs="Times New Roman"/>
                <w:kern w:val="0"/>
                <w:sz w:val="24"/>
                <w:szCs w:val="24"/>
                <w:lang w:eastAsia="en-IE"/>
                <w14:ligatures w14:val="none"/>
              </w:rPr>
              <w:t xml:space="preserve"> </w:t>
            </w:r>
          </w:p>
        </w:tc>
        <w:tc>
          <w:tcPr>
            <w:tcW w:w="2800" w:type="dxa"/>
            <w:tcBorders>
              <w:top w:val="single" w:sz="4" w:space="0" w:color="auto"/>
              <w:left w:val="single" w:sz="4" w:space="0" w:color="auto"/>
              <w:bottom w:val="single" w:sz="4" w:space="0" w:color="auto"/>
              <w:right w:val="single" w:sz="4" w:space="0" w:color="auto"/>
            </w:tcBorders>
            <w:noWrap/>
            <w:vAlign w:val="center"/>
          </w:tcPr>
          <w:p w14:paraId="7C48D4B9"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1115BF23"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716525" w:rsidRPr="00F905F4" w14:paraId="340EA0DE"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36D0C8B" w14:textId="35AC7898" w:rsidR="00716525" w:rsidRPr="00F905F4" w:rsidRDefault="0030416D" w:rsidP="00637AB3">
            <w:pPr>
              <w:spacing w:after="0" w:line="240" w:lineRule="auto"/>
              <w:rPr>
                <w:rFonts w:ascii="Times New Roman" w:eastAsia="Times New Roman" w:hAnsi="Times New Roman" w:cs="Times New Roman"/>
                <w:kern w:val="0"/>
                <w:sz w:val="24"/>
                <w:szCs w:val="24"/>
                <w:lang w:eastAsia="en-IE"/>
                <w14:ligatures w14:val="none"/>
              </w:rPr>
            </w:pPr>
            <w:r w:rsidRPr="0030416D">
              <w:rPr>
                <w:rFonts w:ascii="Times New Roman" w:eastAsia="Times New Roman" w:hAnsi="Times New Roman" w:cs="Times New Roman"/>
                <w:kern w:val="0"/>
                <w:sz w:val="24"/>
                <w:szCs w:val="24"/>
                <w:lang w:eastAsia="en-IE"/>
                <w14:ligatures w14:val="none"/>
              </w:rPr>
              <w:t>2.2.2</w:t>
            </w:r>
          </w:p>
        </w:tc>
        <w:tc>
          <w:tcPr>
            <w:tcW w:w="5766" w:type="dxa"/>
            <w:tcBorders>
              <w:top w:val="single" w:sz="4" w:space="0" w:color="auto"/>
              <w:left w:val="single" w:sz="4" w:space="0" w:color="auto"/>
              <w:bottom w:val="single" w:sz="4" w:space="0" w:color="auto"/>
              <w:right w:val="single" w:sz="4" w:space="0" w:color="auto"/>
            </w:tcBorders>
            <w:vAlign w:val="center"/>
          </w:tcPr>
          <w:p w14:paraId="5986FF18" w14:textId="1269A31B" w:rsidR="00716525" w:rsidRPr="00F905F4" w:rsidRDefault="0030416D" w:rsidP="000F3486">
            <w:pPr>
              <w:spacing w:after="240" w:line="240" w:lineRule="auto"/>
              <w:jc w:val="both"/>
              <w:rPr>
                <w:rFonts w:ascii="Times New Roman" w:hAnsi="Times New Roman" w:cs="Times New Roman"/>
                <w:sz w:val="24"/>
                <w:szCs w:val="24"/>
              </w:rPr>
            </w:pPr>
            <w:r w:rsidRPr="0030416D">
              <w:rPr>
                <w:rFonts w:ascii="Times New Roman" w:eastAsia="Times New Roman" w:hAnsi="Times New Roman" w:cs="Times New Roman"/>
                <w:kern w:val="0"/>
                <w:sz w:val="24"/>
                <w:szCs w:val="24"/>
                <w:lang w:eastAsia="en-IE"/>
                <w14:ligatures w14:val="none"/>
              </w:rPr>
              <w:t>Trainings relevant to the operation and sustainment of the acquired equipment and the overall Capability Package must be updated and delivered throughout the lifecycle.</w:t>
            </w:r>
          </w:p>
        </w:tc>
        <w:tc>
          <w:tcPr>
            <w:tcW w:w="2800" w:type="dxa"/>
            <w:tcBorders>
              <w:top w:val="single" w:sz="4" w:space="0" w:color="auto"/>
              <w:left w:val="single" w:sz="4" w:space="0" w:color="auto"/>
              <w:bottom w:val="single" w:sz="4" w:space="0" w:color="auto"/>
              <w:right w:val="single" w:sz="4" w:space="0" w:color="auto"/>
            </w:tcBorders>
            <w:noWrap/>
            <w:vAlign w:val="center"/>
          </w:tcPr>
          <w:p w14:paraId="2AF52A51"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1A651CCD"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716525" w:rsidRPr="00F905F4" w14:paraId="68282EFC"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03E2790" w14:textId="545EF7D9" w:rsidR="00716525" w:rsidRPr="00F905F4" w:rsidRDefault="00260435" w:rsidP="00637AB3">
            <w:pPr>
              <w:spacing w:after="0" w:line="240" w:lineRule="auto"/>
              <w:rPr>
                <w:rFonts w:ascii="Times New Roman" w:eastAsia="Times New Roman" w:hAnsi="Times New Roman" w:cs="Times New Roman"/>
                <w:kern w:val="0"/>
                <w:sz w:val="24"/>
                <w:szCs w:val="24"/>
                <w:lang w:eastAsia="en-IE"/>
                <w14:ligatures w14:val="none"/>
              </w:rPr>
            </w:pPr>
            <w:r w:rsidRPr="00260435">
              <w:rPr>
                <w:rFonts w:ascii="Times New Roman" w:eastAsia="Times New Roman" w:hAnsi="Times New Roman" w:cs="Times New Roman"/>
                <w:kern w:val="0"/>
                <w:sz w:val="24"/>
                <w:szCs w:val="24"/>
                <w:lang w:eastAsia="en-IE"/>
                <w14:ligatures w14:val="none"/>
              </w:rPr>
              <w:t>2.2.3</w:t>
            </w:r>
          </w:p>
        </w:tc>
        <w:tc>
          <w:tcPr>
            <w:tcW w:w="5766" w:type="dxa"/>
            <w:tcBorders>
              <w:top w:val="single" w:sz="4" w:space="0" w:color="auto"/>
              <w:left w:val="single" w:sz="4" w:space="0" w:color="auto"/>
              <w:bottom w:val="single" w:sz="4" w:space="0" w:color="auto"/>
              <w:right w:val="single" w:sz="4" w:space="0" w:color="auto"/>
            </w:tcBorders>
            <w:vAlign w:val="center"/>
          </w:tcPr>
          <w:p w14:paraId="06A21EF3" w14:textId="77777777" w:rsidR="00716525" w:rsidRPr="00F905F4" w:rsidRDefault="00260435" w:rsidP="000F3486">
            <w:pPr>
              <w:spacing w:after="240" w:line="240" w:lineRule="auto"/>
              <w:jc w:val="both"/>
              <w:rPr>
                <w:rFonts w:ascii="Times New Roman" w:eastAsia="Times New Roman" w:hAnsi="Times New Roman" w:cs="Times New Roman"/>
                <w:kern w:val="0"/>
                <w:sz w:val="24"/>
                <w:szCs w:val="24"/>
                <w:lang w:eastAsia="en-IE"/>
                <w14:ligatures w14:val="none"/>
              </w:rPr>
            </w:pPr>
            <w:r w:rsidRPr="00260435">
              <w:rPr>
                <w:rFonts w:ascii="Times New Roman" w:eastAsia="Times New Roman" w:hAnsi="Times New Roman" w:cs="Times New Roman"/>
                <w:kern w:val="0"/>
                <w:sz w:val="24"/>
                <w:szCs w:val="24"/>
                <w:lang w:eastAsia="en-IE"/>
                <w14:ligatures w14:val="none"/>
              </w:rPr>
              <w:t>Measures must be taken to optimise preventive – calendar or condition-based – maintenance of the equipment as well as spare parts management for both preventive and corrective maintenance, exploring emerging opportunities stemming from local additive manufacturing.</w:t>
            </w:r>
            <w:r w:rsidR="000F3486" w:rsidRPr="00F905F4">
              <w:rPr>
                <w:rFonts w:ascii="Times New Roman" w:eastAsia="Times New Roman" w:hAnsi="Times New Roman" w:cs="Times New Roman"/>
                <w:kern w:val="0"/>
                <w:sz w:val="24"/>
                <w:szCs w:val="24"/>
                <w:lang w:eastAsia="en-IE"/>
                <w14:ligatures w14:val="none"/>
              </w:rPr>
              <w:t xml:space="preserve"> </w:t>
            </w:r>
          </w:p>
          <w:p w14:paraId="5B807AA8" w14:textId="08B8BA75" w:rsidR="006A1D73" w:rsidRPr="00F905F4" w:rsidRDefault="006A1D73" w:rsidP="000F3486">
            <w:pPr>
              <w:spacing w:after="240" w:line="240" w:lineRule="auto"/>
              <w:jc w:val="both"/>
              <w:rPr>
                <w:rFonts w:ascii="Times New Roman" w:hAnsi="Times New Roman" w:cs="Times New Roman"/>
                <w:sz w:val="24"/>
                <w:szCs w:val="24"/>
              </w:rPr>
            </w:pPr>
          </w:p>
        </w:tc>
        <w:tc>
          <w:tcPr>
            <w:tcW w:w="2800" w:type="dxa"/>
            <w:tcBorders>
              <w:top w:val="single" w:sz="4" w:space="0" w:color="auto"/>
              <w:left w:val="single" w:sz="4" w:space="0" w:color="auto"/>
              <w:bottom w:val="single" w:sz="4" w:space="0" w:color="auto"/>
              <w:right w:val="single" w:sz="4" w:space="0" w:color="auto"/>
            </w:tcBorders>
            <w:noWrap/>
            <w:vAlign w:val="center"/>
          </w:tcPr>
          <w:p w14:paraId="6AEE5379"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4053DFE"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47CE2C0C"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89F6118" w14:textId="0B8CA64F"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hAnsi="Times New Roman" w:cs="Times New Roman"/>
                <w:b/>
                <w:bCs/>
                <w:sz w:val="24"/>
                <w:szCs w:val="24"/>
              </w:rPr>
              <w:t>3.</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149589A5" w14:textId="590469B3" w:rsidR="006A1D73" w:rsidRPr="00F905F4" w:rsidRDefault="006A1D73" w:rsidP="00637AB3">
            <w:pPr>
              <w:spacing w:after="0" w:line="240" w:lineRule="auto"/>
              <w:rPr>
                <w:rFonts w:ascii="Times New Roman" w:eastAsia="Times New Roman" w:hAnsi="Times New Roman" w:cs="Times New Roman"/>
                <w:b/>
                <w:bCs/>
                <w:color w:val="000000"/>
                <w:kern w:val="0"/>
                <w:sz w:val="24"/>
                <w:szCs w:val="24"/>
                <w:lang w:val="en-IE" w:eastAsia="en-IE"/>
                <w14:ligatures w14:val="none"/>
              </w:rPr>
            </w:pPr>
            <w:r w:rsidRPr="00F905F4">
              <w:rPr>
                <w:rFonts w:ascii="Times New Roman" w:hAnsi="Times New Roman" w:cs="Times New Roman"/>
                <w:b/>
                <w:bCs/>
                <w:sz w:val="24"/>
                <w:szCs w:val="24"/>
              </w:rPr>
              <w:t>AFFORDABILITY</w:t>
            </w:r>
          </w:p>
        </w:tc>
      </w:tr>
      <w:tr w:rsidR="00716525" w:rsidRPr="00F905F4" w14:paraId="2A0CFF0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B7CAF89" w14:textId="01F807E6" w:rsidR="00716525" w:rsidRPr="00F905F4" w:rsidRDefault="00742F75" w:rsidP="00637AB3">
            <w:pPr>
              <w:spacing w:after="0" w:line="240" w:lineRule="auto"/>
              <w:rPr>
                <w:rFonts w:ascii="Times New Roman" w:eastAsia="Times New Roman" w:hAnsi="Times New Roman" w:cs="Times New Roman"/>
                <w:kern w:val="0"/>
                <w:sz w:val="24"/>
                <w:szCs w:val="24"/>
                <w:lang w:eastAsia="en-IE"/>
                <w14:ligatures w14:val="none"/>
              </w:rPr>
            </w:pPr>
            <w:r w:rsidRPr="00742F75">
              <w:rPr>
                <w:rFonts w:ascii="Times New Roman" w:eastAsia="Times New Roman" w:hAnsi="Times New Roman" w:cs="Times New Roman"/>
                <w:kern w:val="0"/>
                <w:sz w:val="24"/>
                <w:szCs w:val="24"/>
                <w:lang w:eastAsia="en-IE"/>
                <w14:ligatures w14:val="none"/>
              </w:rPr>
              <w:t>3.1</w:t>
            </w:r>
          </w:p>
        </w:tc>
        <w:tc>
          <w:tcPr>
            <w:tcW w:w="5766" w:type="dxa"/>
            <w:tcBorders>
              <w:top w:val="single" w:sz="4" w:space="0" w:color="auto"/>
              <w:left w:val="single" w:sz="4" w:space="0" w:color="auto"/>
              <w:bottom w:val="single" w:sz="4" w:space="0" w:color="auto"/>
              <w:right w:val="single" w:sz="4" w:space="0" w:color="auto"/>
            </w:tcBorders>
            <w:vAlign w:val="center"/>
          </w:tcPr>
          <w:p w14:paraId="0966F92F" w14:textId="1BB8F1D6" w:rsidR="00716525" w:rsidRPr="00F905F4" w:rsidRDefault="00742F75" w:rsidP="000F3486">
            <w:pPr>
              <w:spacing w:after="240" w:line="240" w:lineRule="auto"/>
              <w:jc w:val="both"/>
              <w:rPr>
                <w:rFonts w:ascii="Times New Roman" w:hAnsi="Times New Roman" w:cs="Times New Roman"/>
                <w:sz w:val="24"/>
                <w:szCs w:val="24"/>
              </w:rPr>
            </w:pPr>
            <w:r w:rsidRPr="00742F75">
              <w:rPr>
                <w:rFonts w:ascii="Times New Roman" w:eastAsia="Times New Roman" w:hAnsi="Times New Roman" w:cs="Times New Roman"/>
                <w:kern w:val="0"/>
                <w:sz w:val="24"/>
                <w:szCs w:val="24"/>
                <w:lang w:eastAsia="en-IE"/>
                <w14:ligatures w14:val="none"/>
              </w:rPr>
              <w:t>During the early stages of the action, when assessing options and defining the scope and requirements for the Capability Packages, a thorough cost-effectiveness analysis must be performed in line with existing best practices such as the European Commission’s Economic Appraisal Vademecum 2021-2027 (</w:t>
            </w:r>
            <w:r w:rsidRPr="00742F75">
              <w:rPr>
                <w:rFonts w:ascii="Times New Roman" w:eastAsia="Times New Roman" w:hAnsi="Times New Roman" w:cs="Times New Roman"/>
                <w:kern w:val="0"/>
                <w:sz w:val="24"/>
                <w:szCs w:val="24"/>
                <w:vertAlign w:val="superscript"/>
                <w:lang w:eastAsia="en-IE"/>
                <w14:ligatures w14:val="none"/>
              </w:rPr>
              <w:footnoteReference w:id="11"/>
            </w:r>
            <w:r w:rsidRPr="00742F75">
              <w:rPr>
                <w:rFonts w:ascii="Times New Roman" w:eastAsia="Times New Roman" w:hAnsi="Times New Roman" w:cs="Times New Roman"/>
                <w:kern w:val="0"/>
                <w:sz w:val="24"/>
                <w:szCs w:val="24"/>
                <w:lang w:eastAsia="en-IE"/>
                <w14:ligatures w14:val="none"/>
              </w:rPr>
              <w:t>), which provides the rationale for opting for cost-effectiveness analysis as opposed to cost-benefit analysis.</w:t>
            </w:r>
            <w:r w:rsidR="000F3486" w:rsidRPr="00F905F4">
              <w:rPr>
                <w:rFonts w:ascii="Times New Roman" w:eastAsia="Times New Roman" w:hAnsi="Times New Roman" w:cs="Times New Roman"/>
                <w:kern w:val="0"/>
                <w:sz w:val="24"/>
                <w:szCs w:val="24"/>
                <w:lang w:eastAsia="en-IE"/>
                <w14:ligatures w14:val="none"/>
              </w:rPr>
              <w:t xml:space="preserve"> </w:t>
            </w:r>
          </w:p>
        </w:tc>
        <w:tc>
          <w:tcPr>
            <w:tcW w:w="2800" w:type="dxa"/>
            <w:tcBorders>
              <w:top w:val="single" w:sz="4" w:space="0" w:color="auto"/>
              <w:left w:val="single" w:sz="4" w:space="0" w:color="auto"/>
              <w:bottom w:val="single" w:sz="4" w:space="0" w:color="auto"/>
              <w:right w:val="single" w:sz="4" w:space="0" w:color="auto"/>
            </w:tcBorders>
            <w:noWrap/>
            <w:vAlign w:val="center"/>
          </w:tcPr>
          <w:p w14:paraId="4E722E74"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D6D02B1"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716525" w:rsidRPr="00F905F4" w14:paraId="728CFC46"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FA01791" w14:textId="32C357FD" w:rsidR="00716525" w:rsidRPr="00F905F4" w:rsidRDefault="00111C97" w:rsidP="00637AB3">
            <w:pPr>
              <w:spacing w:after="0" w:line="240" w:lineRule="auto"/>
              <w:rPr>
                <w:rFonts w:ascii="Times New Roman" w:eastAsia="Times New Roman" w:hAnsi="Times New Roman" w:cs="Times New Roman"/>
                <w:kern w:val="0"/>
                <w:sz w:val="24"/>
                <w:szCs w:val="24"/>
                <w:lang w:eastAsia="en-IE"/>
                <w14:ligatures w14:val="none"/>
              </w:rPr>
            </w:pPr>
            <w:r w:rsidRPr="00111C97">
              <w:rPr>
                <w:rFonts w:ascii="Times New Roman" w:eastAsia="Times New Roman" w:hAnsi="Times New Roman" w:cs="Times New Roman"/>
                <w:kern w:val="0"/>
                <w:sz w:val="24"/>
                <w:szCs w:val="24"/>
                <w:lang w:eastAsia="en-IE"/>
                <w14:ligatures w14:val="none"/>
              </w:rPr>
              <w:t>3.2</w:t>
            </w:r>
          </w:p>
        </w:tc>
        <w:tc>
          <w:tcPr>
            <w:tcW w:w="5766" w:type="dxa"/>
            <w:tcBorders>
              <w:top w:val="single" w:sz="4" w:space="0" w:color="auto"/>
              <w:left w:val="single" w:sz="4" w:space="0" w:color="auto"/>
              <w:bottom w:val="single" w:sz="4" w:space="0" w:color="auto"/>
              <w:right w:val="single" w:sz="4" w:space="0" w:color="auto"/>
            </w:tcBorders>
            <w:vAlign w:val="center"/>
          </w:tcPr>
          <w:p w14:paraId="4BB4EAB8" w14:textId="78F7418C" w:rsidR="00716525" w:rsidRPr="00F905F4" w:rsidRDefault="00111C97" w:rsidP="000F3486">
            <w:pPr>
              <w:spacing w:after="240" w:line="240" w:lineRule="auto"/>
              <w:jc w:val="both"/>
              <w:rPr>
                <w:rFonts w:ascii="Times New Roman" w:hAnsi="Times New Roman" w:cs="Times New Roman"/>
                <w:sz w:val="24"/>
                <w:szCs w:val="24"/>
              </w:rPr>
            </w:pPr>
            <w:r w:rsidRPr="00111C97">
              <w:rPr>
                <w:rFonts w:ascii="Times New Roman" w:eastAsia="Times New Roman" w:hAnsi="Times New Roman" w:cs="Times New Roman"/>
                <w:kern w:val="0"/>
                <w:sz w:val="24"/>
                <w:szCs w:val="24"/>
                <w:lang w:eastAsia="en-IE"/>
                <w14:ligatures w14:val="none"/>
              </w:rPr>
              <w:t>Lifecycle costs must be calculated and updated regularly during the course of the action, adhering to international standards such as ISO 15288 (</w:t>
            </w:r>
            <w:r w:rsidRPr="00111C97">
              <w:rPr>
                <w:rFonts w:ascii="Times New Roman" w:eastAsia="Times New Roman" w:hAnsi="Times New Roman" w:cs="Times New Roman"/>
                <w:kern w:val="0"/>
                <w:sz w:val="24"/>
                <w:szCs w:val="24"/>
                <w:vertAlign w:val="superscript"/>
                <w:lang w:eastAsia="en-IE"/>
                <w14:ligatures w14:val="none"/>
              </w:rPr>
              <w:footnoteReference w:id="12"/>
            </w:r>
            <w:r w:rsidRPr="00111C97">
              <w:rPr>
                <w:rFonts w:ascii="Times New Roman" w:eastAsia="Times New Roman" w:hAnsi="Times New Roman" w:cs="Times New Roman"/>
                <w:kern w:val="0"/>
                <w:sz w:val="24"/>
                <w:szCs w:val="24"/>
                <w:lang w:eastAsia="en-IE"/>
                <w14:ligatures w14:val="none"/>
              </w:rPr>
              <w:t>), NATO TR-SAS-054 (</w:t>
            </w:r>
            <w:r w:rsidRPr="00111C97">
              <w:rPr>
                <w:rFonts w:ascii="Times New Roman" w:eastAsia="Times New Roman" w:hAnsi="Times New Roman" w:cs="Times New Roman"/>
                <w:kern w:val="0"/>
                <w:sz w:val="24"/>
                <w:szCs w:val="24"/>
                <w:vertAlign w:val="superscript"/>
                <w:lang w:eastAsia="en-IE"/>
                <w14:ligatures w14:val="none"/>
              </w:rPr>
              <w:footnoteReference w:id="13"/>
            </w:r>
            <w:r w:rsidRPr="00111C97">
              <w:rPr>
                <w:rFonts w:ascii="Times New Roman" w:eastAsia="Times New Roman" w:hAnsi="Times New Roman" w:cs="Times New Roman"/>
                <w:kern w:val="0"/>
                <w:sz w:val="24"/>
                <w:szCs w:val="24"/>
                <w:lang w:eastAsia="en-IE"/>
                <w14:ligatures w14:val="none"/>
              </w:rPr>
              <w:t>) or equivalent.</w:t>
            </w:r>
            <w:r w:rsidR="000F3486" w:rsidRPr="00F905F4">
              <w:rPr>
                <w:rFonts w:ascii="Times New Roman" w:eastAsia="Times New Roman" w:hAnsi="Times New Roman" w:cs="Times New Roman"/>
                <w:kern w:val="0"/>
                <w:sz w:val="24"/>
                <w:szCs w:val="24"/>
                <w:lang w:eastAsia="en-IE"/>
                <w14:ligatures w14:val="none"/>
              </w:rPr>
              <w:t xml:space="preserve"> </w:t>
            </w:r>
          </w:p>
        </w:tc>
        <w:tc>
          <w:tcPr>
            <w:tcW w:w="2800" w:type="dxa"/>
            <w:tcBorders>
              <w:top w:val="single" w:sz="4" w:space="0" w:color="auto"/>
              <w:left w:val="single" w:sz="4" w:space="0" w:color="auto"/>
              <w:bottom w:val="single" w:sz="4" w:space="0" w:color="auto"/>
              <w:right w:val="single" w:sz="4" w:space="0" w:color="auto"/>
            </w:tcBorders>
            <w:noWrap/>
            <w:vAlign w:val="center"/>
          </w:tcPr>
          <w:p w14:paraId="769D74E6"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119A9684" w14:textId="77777777" w:rsidR="00716525" w:rsidRPr="00F905F4" w:rsidRDefault="00716525"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7E5C0F0B"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41366814" w14:textId="0217F502"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4.</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577353A0" w14:textId="7DFCEFCB"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kern w:val="0"/>
                <w:sz w:val="24"/>
                <w:szCs w:val="24"/>
                <w:lang w:eastAsia="en-IE"/>
                <w14:ligatures w14:val="none"/>
              </w:rPr>
              <w:t xml:space="preserve">ADAPTABILITY </w:t>
            </w:r>
          </w:p>
        </w:tc>
      </w:tr>
      <w:tr w:rsidR="00D914E8" w:rsidRPr="00F905F4" w14:paraId="015F1AC0"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2CBA04BF" w14:textId="4506ECA4" w:rsidR="00D914E8" w:rsidRPr="00F905F4" w:rsidRDefault="00DB733A" w:rsidP="00637AB3">
            <w:pPr>
              <w:spacing w:after="0" w:line="240" w:lineRule="auto"/>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4.1</w:t>
            </w:r>
          </w:p>
        </w:tc>
        <w:tc>
          <w:tcPr>
            <w:tcW w:w="5766" w:type="dxa"/>
            <w:tcBorders>
              <w:top w:val="single" w:sz="4" w:space="0" w:color="auto"/>
              <w:left w:val="single" w:sz="4" w:space="0" w:color="auto"/>
              <w:bottom w:val="single" w:sz="4" w:space="0" w:color="auto"/>
              <w:right w:val="single" w:sz="4" w:space="0" w:color="auto"/>
            </w:tcBorders>
            <w:vAlign w:val="center"/>
          </w:tcPr>
          <w:p w14:paraId="7754CEA7" w14:textId="633BF89F" w:rsidR="00D914E8" w:rsidRPr="00F905F4" w:rsidRDefault="00DB733A" w:rsidP="00111C97">
            <w:pPr>
              <w:spacing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A modular approach to the design of the capability packages must be employed in order to enable upgrades, including through refurbishments and retrofits, throughout their lifecycle.</w:t>
            </w:r>
          </w:p>
        </w:tc>
        <w:tc>
          <w:tcPr>
            <w:tcW w:w="2800" w:type="dxa"/>
            <w:tcBorders>
              <w:top w:val="single" w:sz="4" w:space="0" w:color="auto"/>
              <w:left w:val="single" w:sz="4" w:space="0" w:color="auto"/>
              <w:bottom w:val="single" w:sz="4" w:space="0" w:color="auto"/>
              <w:right w:val="single" w:sz="4" w:space="0" w:color="auto"/>
            </w:tcBorders>
            <w:noWrap/>
            <w:vAlign w:val="center"/>
          </w:tcPr>
          <w:p w14:paraId="0B88D083"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1AB3DE2D"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914E8" w:rsidRPr="00F905F4" w14:paraId="2BF771F8"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891E648" w14:textId="29B14909" w:rsidR="00D914E8" w:rsidRPr="00F905F4" w:rsidRDefault="00104F80" w:rsidP="00637AB3">
            <w:pPr>
              <w:spacing w:after="0" w:line="240" w:lineRule="auto"/>
              <w:rPr>
                <w:rFonts w:ascii="Times New Roman" w:eastAsia="Times New Roman" w:hAnsi="Times New Roman" w:cs="Times New Roman"/>
                <w:kern w:val="0"/>
                <w:sz w:val="24"/>
                <w:szCs w:val="24"/>
                <w:lang w:eastAsia="en-IE"/>
                <w14:ligatures w14:val="none"/>
              </w:rPr>
            </w:pPr>
            <w:r w:rsidRPr="00104F80">
              <w:rPr>
                <w:rFonts w:ascii="Times New Roman" w:eastAsia="Times New Roman" w:hAnsi="Times New Roman" w:cs="Times New Roman"/>
                <w:kern w:val="0"/>
                <w:sz w:val="24"/>
                <w:szCs w:val="24"/>
                <w:lang w:eastAsia="en-IE"/>
                <w14:ligatures w14:val="none"/>
              </w:rPr>
              <w:t>4.2</w:t>
            </w:r>
          </w:p>
        </w:tc>
        <w:tc>
          <w:tcPr>
            <w:tcW w:w="5766" w:type="dxa"/>
            <w:tcBorders>
              <w:top w:val="single" w:sz="4" w:space="0" w:color="auto"/>
              <w:left w:val="single" w:sz="4" w:space="0" w:color="auto"/>
              <w:bottom w:val="single" w:sz="4" w:space="0" w:color="auto"/>
              <w:right w:val="single" w:sz="4" w:space="0" w:color="auto"/>
            </w:tcBorders>
            <w:vAlign w:val="center"/>
          </w:tcPr>
          <w:p w14:paraId="503C2A47" w14:textId="4AB462BD" w:rsidR="00D914E8" w:rsidRPr="00F905F4" w:rsidRDefault="00104F80" w:rsidP="000F3486">
            <w:pPr>
              <w:spacing w:after="240" w:line="240" w:lineRule="auto"/>
              <w:jc w:val="both"/>
              <w:rPr>
                <w:rFonts w:ascii="Times New Roman" w:eastAsia="Times New Roman" w:hAnsi="Times New Roman" w:cs="Times New Roman"/>
                <w:kern w:val="0"/>
                <w:sz w:val="24"/>
                <w:szCs w:val="24"/>
                <w:lang w:eastAsia="en-IE"/>
                <w14:ligatures w14:val="none"/>
              </w:rPr>
            </w:pPr>
            <w:r w:rsidRPr="00104F80">
              <w:rPr>
                <w:rFonts w:ascii="Times New Roman" w:eastAsia="Times New Roman" w:hAnsi="Times New Roman" w:cs="Times New Roman"/>
                <w:kern w:val="0"/>
                <w:sz w:val="24"/>
                <w:szCs w:val="24"/>
                <w:lang w:eastAsia="en-IE"/>
                <w14:ligatures w14:val="none"/>
              </w:rPr>
              <w:t xml:space="preserve">Particular emphasis must be made to the interfaces of the Capability Packages, adhering to relevant international technical standards. </w:t>
            </w:r>
            <w:r w:rsidR="000F3486" w:rsidRPr="00F905F4">
              <w:rPr>
                <w:rFonts w:ascii="Times New Roman" w:eastAsia="Times New Roman" w:hAnsi="Times New Roman" w:cs="Times New Roman"/>
                <w:kern w:val="0"/>
                <w:sz w:val="24"/>
                <w:szCs w:val="24"/>
                <w:lang w:eastAsia="en-IE"/>
                <w14:ligatures w14:val="none"/>
              </w:rPr>
              <w:t xml:space="preserve"> </w:t>
            </w:r>
          </w:p>
        </w:tc>
        <w:tc>
          <w:tcPr>
            <w:tcW w:w="2800" w:type="dxa"/>
            <w:tcBorders>
              <w:top w:val="single" w:sz="4" w:space="0" w:color="auto"/>
              <w:left w:val="single" w:sz="4" w:space="0" w:color="auto"/>
              <w:bottom w:val="single" w:sz="4" w:space="0" w:color="auto"/>
              <w:right w:val="single" w:sz="4" w:space="0" w:color="auto"/>
            </w:tcBorders>
            <w:noWrap/>
            <w:vAlign w:val="center"/>
          </w:tcPr>
          <w:p w14:paraId="2F2ECE18"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31A54291"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7FBA41DA"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4EDC00E6" w14:textId="27187A6F"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5.</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4E63CE1" w14:textId="564A4D6A"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kern w:val="0"/>
                <w:sz w:val="24"/>
                <w:szCs w:val="24"/>
                <w:lang w:eastAsia="en-IE"/>
                <w14:ligatures w14:val="none"/>
              </w:rPr>
              <w:t>ACCOUNTABILITY</w:t>
            </w:r>
          </w:p>
        </w:tc>
      </w:tr>
      <w:tr w:rsidR="006A1D73" w:rsidRPr="00F905F4" w14:paraId="046893A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277D384A" w14:textId="35BF859D"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5.1</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B29FA00" w14:textId="2D80660D"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bookmarkStart w:id="3" w:name="_Toc203404027"/>
            <w:r w:rsidRPr="0089275E">
              <w:rPr>
                <w:rFonts w:ascii="Times New Roman" w:eastAsia="Times New Roman" w:hAnsi="Times New Roman" w:cs="Times New Roman"/>
                <w:b/>
                <w:kern w:val="0"/>
                <w:sz w:val="24"/>
                <w:szCs w:val="24"/>
                <w:lang w:eastAsia="en-IE"/>
                <w14:ligatures w14:val="none"/>
              </w:rPr>
              <w:t>Quality</w:t>
            </w:r>
            <w:bookmarkEnd w:id="3"/>
          </w:p>
        </w:tc>
      </w:tr>
      <w:tr w:rsidR="00D914E8" w:rsidRPr="00F905F4" w14:paraId="5A90844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3AF4B28D" w14:textId="62ADFA27" w:rsidR="00D914E8" w:rsidRPr="00F905F4" w:rsidRDefault="003243A0" w:rsidP="00637AB3">
            <w:pPr>
              <w:spacing w:after="0" w:line="240" w:lineRule="auto"/>
              <w:rPr>
                <w:rFonts w:ascii="Times New Roman" w:eastAsia="Times New Roman" w:hAnsi="Times New Roman" w:cs="Times New Roman"/>
                <w:kern w:val="0"/>
                <w:sz w:val="24"/>
                <w:szCs w:val="24"/>
                <w:lang w:eastAsia="en-IE"/>
                <w14:ligatures w14:val="none"/>
              </w:rPr>
            </w:pPr>
            <w:r w:rsidRPr="003243A0">
              <w:rPr>
                <w:rFonts w:ascii="Times New Roman" w:eastAsia="Times New Roman" w:hAnsi="Times New Roman" w:cs="Times New Roman"/>
                <w:kern w:val="0"/>
                <w:sz w:val="24"/>
                <w:szCs w:val="24"/>
                <w:lang w:eastAsia="en-IE"/>
                <w14:ligatures w14:val="none"/>
              </w:rPr>
              <w:t>5.1.1</w:t>
            </w:r>
          </w:p>
        </w:tc>
        <w:tc>
          <w:tcPr>
            <w:tcW w:w="5766" w:type="dxa"/>
            <w:tcBorders>
              <w:top w:val="single" w:sz="4" w:space="0" w:color="auto"/>
              <w:left w:val="single" w:sz="4" w:space="0" w:color="auto"/>
              <w:bottom w:val="single" w:sz="4" w:space="0" w:color="auto"/>
              <w:right w:val="single" w:sz="4" w:space="0" w:color="auto"/>
            </w:tcBorders>
            <w:vAlign w:val="center"/>
          </w:tcPr>
          <w:p w14:paraId="587298FF" w14:textId="225EEC6B" w:rsidR="00D914E8" w:rsidRPr="00F905F4" w:rsidRDefault="003243A0" w:rsidP="00C627C2">
            <w:pPr>
              <w:spacing w:after="240" w:line="240" w:lineRule="auto"/>
              <w:jc w:val="both"/>
              <w:rPr>
                <w:rFonts w:ascii="Times New Roman" w:eastAsia="Times New Roman" w:hAnsi="Times New Roman" w:cs="Times New Roman"/>
                <w:kern w:val="0"/>
                <w:sz w:val="24"/>
                <w:szCs w:val="24"/>
                <w:lang w:eastAsia="en-IE"/>
                <w14:ligatures w14:val="none"/>
              </w:rPr>
            </w:pPr>
            <w:r w:rsidRPr="003243A0">
              <w:rPr>
                <w:rFonts w:ascii="Times New Roman" w:eastAsia="Times New Roman" w:hAnsi="Times New Roman" w:cs="Times New Roman"/>
                <w:kern w:val="0"/>
                <w:sz w:val="24"/>
                <w:szCs w:val="24"/>
                <w:lang w:eastAsia="en-IE"/>
                <w14:ligatures w14:val="none"/>
              </w:rPr>
              <w:t xml:space="preserve">Established international project management standards must be applied, including during the </w:t>
            </w:r>
            <w:r w:rsidR="00FC36EE">
              <w:rPr>
                <w:rFonts w:ascii="Times New Roman" w:eastAsia="Times New Roman" w:hAnsi="Times New Roman" w:cs="Times New Roman"/>
                <w:kern w:val="0"/>
                <w:sz w:val="24"/>
                <w:szCs w:val="24"/>
                <w:lang w:eastAsia="en-IE"/>
                <w14:ligatures w14:val="none"/>
              </w:rPr>
              <w:t xml:space="preserve">purchase </w:t>
            </w:r>
            <w:r w:rsidRPr="003243A0">
              <w:rPr>
                <w:rFonts w:ascii="Times New Roman" w:eastAsia="Times New Roman" w:hAnsi="Times New Roman" w:cs="Times New Roman"/>
                <w:kern w:val="0"/>
                <w:sz w:val="24"/>
                <w:szCs w:val="24"/>
                <w:lang w:eastAsia="en-IE"/>
                <w14:ligatures w14:val="none"/>
              </w:rPr>
              <w:t>phase</w:t>
            </w:r>
            <w:r w:rsidR="00FC36EE">
              <w:rPr>
                <w:rFonts w:ascii="Times New Roman" w:eastAsia="Times New Roman" w:hAnsi="Times New Roman" w:cs="Times New Roman"/>
                <w:kern w:val="0"/>
                <w:sz w:val="24"/>
                <w:szCs w:val="24"/>
                <w:lang w:eastAsia="en-IE"/>
                <w14:ligatures w14:val="none"/>
              </w:rPr>
              <w:t xml:space="preserve"> -</w:t>
            </w:r>
            <w:r w:rsidRPr="003243A0">
              <w:rPr>
                <w:rFonts w:ascii="Times New Roman" w:eastAsia="Times New Roman" w:hAnsi="Times New Roman" w:cs="Times New Roman"/>
                <w:kern w:val="0"/>
                <w:sz w:val="24"/>
                <w:szCs w:val="24"/>
                <w:lang w:eastAsia="en-IE"/>
                <w14:ligatures w14:val="none"/>
              </w:rPr>
              <w:t xml:space="preserve"> i.e. the European Commission’s PM</w:t>
            </w:r>
            <w:r w:rsidRPr="003243A0">
              <w:rPr>
                <w:rFonts w:ascii="Times New Roman" w:eastAsia="Times New Roman" w:hAnsi="Times New Roman" w:cs="Times New Roman"/>
                <w:kern w:val="0"/>
                <w:sz w:val="24"/>
                <w:szCs w:val="24"/>
                <w:vertAlign w:val="superscript"/>
                <w:lang w:eastAsia="en-IE"/>
                <w14:ligatures w14:val="none"/>
              </w:rPr>
              <w:t>2</w:t>
            </w:r>
            <w:r w:rsidRPr="003243A0">
              <w:rPr>
                <w:rFonts w:ascii="Times New Roman" w:eastAsia="Times New Roman" w:hAnsi="Times New Roman" w:cs="Times New Roman"/>
                <w:kern w:val="0"/>
                <w:sz w:val="24"/>
                <w:szCs w:val="24"/>
                <w:lang w:eastAsia="en-IE"/>
                <w14:ligatures w14:val="none"/>
              </w:rPr>
              <w:t xml:space="preserve">, PMBOK, PRINCE2 or equivalent. </w:t>
            </w:r>
          </w:p>
        </w:tc>
        <w:tc>
          <w:tcPr>
            <w:tcW w:w="2800" w:type="dxa"/>
            <w:tcBorders>
              <w:top w:val="single" w:sz="4" w:space="0" w:color="auto"/>
              <w:left w:val="single" w:sz="4" w:space="0" w:color="auto"/>
              <w:bottom w:val="single" w:sz="4" w:space="0" w:color="auto"/>
              <w:right w:val="single" w:sz="4" w:space="0" w:color="auto"/>
            </w:tcBorders>
            <w:noWrap/>
            <w:vAlign w:val="center"/>
          </w:tcPr>
          <w:p w14:paraId="3F645D4E"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085C5E0B"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914E8" w:rsidRPr="00F905F4" w14:paraId="37D3F7EE"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752F0E59" w14:textId="7A0D2C74" w:rsidR="00D914E8" w:rsidRPr="00F905F4" w:rsidRDefault="00C627C2" w:rsidP="00637AB3">
            <w:pPr>
              <w:spacing w:after="0" w:line="240" w:lineRule="auto"/>
              <w:rPr>
                <w:rFonts w:ascii="Times New Roman" w:eastAsia="Times New Roman" w:hAnsi="Times New Roman" w:cs="Times New Roman"/>
                <w:kern w:val="0"/>
                <w:sz w:val="24"/>
                <w:szCs w:val="24"/>
                <w:lang w:eastAsia="en-IE"/>
                <w14:ligatures w14:val="none"/>
              </w:rPr>
            </w:pPr>
            <w:r w:rsidRPr="00C627C2">
              <w:rPr>
                <w:rFonts w:ascii="Times New Roman" w:eastAsia="Times New Roman" w:hAnsi="Times New Roman" w:cs="Times New Roman"/>
                <w:kern w:val="0"/>
                <w:sz w:val="24"/>
                <w:szCs w:val="24"/>
                <w:lang w:eastAsia="en-IE"/>
                <w14:ligatures w14:val="none"/>
              </w:rPr>
              <w:t>5.1.2</w:t>
            </w:r>
          </w:p>
        </w:tc>
        <w:tc>
          <w:tcPr>
            <w:tcW w:w="5766" w:type="dxa"/>
            <w:tcBorders>
              <w:top w:val="single" w:sz="4" w:space="0" w:color="auto"/>
              <w:left w:val="single" w:sz="4" w:space="0" w:color="auto"/>
              <w:bottom w:val="single" w:sz="4" w:space="0" w:color="auto"/>
              <w:right w:val="single" w:sz="4" w:space="0" w:color="auto"/>
            </w:tcBorders>
            <w:vAlign w:val="center"/>
          </w:tcPr>
          <w:p w14:paraId="294670E2" w14:textId="6B194A37" w:rsidR="00D914E8" w:rsidRPr="00F905F4" w:rsidRDefault="00C627C2" w:rsidP="000F3486">
            <w:pPr>
              <w:spacing w:after="240" w:line="240" w:lineRule="auto"/>
              <w:jc w:val="both"/>
              <w:rPr>
                <w:rFonts w:ascii="Times New Roman" w:eastAsia="Times New Roman" w:hAnsi="Times New Roman" w:cs="Times New Roman"/>
                <w:kern w:val="0"/>
                <w:sz w:val="24"/>
                <w:szCs w:val="24"/>
                <w:lang w:eastAsia="en-IE"/>
                <w14:ligatures w14:val="none"/>
              </w:rPr>
            </w:pPr>
            <w:r w:rsidRPr="00C627C2">
              <w:rPr>
                <w:rFonts w:ascii="Times New Roman" w:eastAsia="Times New Roman" w:hAnsi="Times New Roman" w:cs="Times New Roman"/>
                <w:kern w:val="0"/>
                <w:sz w:val="24"/>
                <w:szCs w:val="24"/>
                <w:lang w:eastAsia="en-IE"/>
                <w14:ligatures w14:val="none"/>
              </w:rPr>
              <w:t>ISO 9001 (</w:t>
            </w:r>
            <w:r w:rsidRPr="00C627C2">
              <w:rPr>
                <w:rFonts w:ascii="Times New Roman" w:eastAsia="Times New Roman" w:hAnsi="Times New Roman" w:cs="Times New Roman"/>
                <w:kern w:val="0"/>
                <w:sz w:val="24"/>
                <w:szCs w:val="24"/>
                <w:vertAlign w:val="superscript"/>
                <w:lang w:eastAsia="en-IE"/>
                <w14:ligatures w14:val="none"/>
              </w:rPr>
              <w:footnoteReference w:id="14"/>
            </w:r>
            <w:r w:rsidRPr="00C627C2">
              <w:rPr>
                <w:rFonts w:ascii="Times New Roman" w:eastAsia="Times New Roman" w:hAnsi="Times New Roman" w:cs="Times New Roman"/>
                <w:kern w:val="0"/>
                <w:sz w:val="24"/>
                <w:szCs w:val="24"/>
                <w:lang w:eastAsia="en-IE"/>
                <w14:ligatures w14:val="none"/>
              </w:rPr>
              <w:t>) certification must be required for all contracted suppliers.</w:t>
            </w:r>
            <w:r w:rsidR="000F3486" w:rsidRPr="00F905F4">
              <w:rPr>
                <w:rFonts w:ascii="Times New Roman" w:eastAsia="Times New Roman" w:hAnsi="Times New Roman" w:cs="Times New Roman"/>
                <w:kern w:val="0"/>
                <w:sz w:val="24"/>
                <w:szCs w:val="24"/>
                <w:lang w:eastAsia="en-IE"/>
                <w14:ligatures w14:val="none"/>
              </w:rPr>
              <w:t xml:space="preserve"> </w:t>
            </w:r>
          </w:p>
        </w:tc>
        <w:tc>
          <w:tcPr>
            <w:tcW w:w="2800" w:type="dxa"/>
            <w:tcBorders>
              <w:top w:val="single" w:sz="4" w:space="0" w:color="auto"/>
              <w:left w:val="single" w:sz="4" w:space="0" w:color="auto"/>
              <w:bottom w:val="single" w:sz="4" w:space="0" w:color="auto"/>
              <w:right w:val="single" w:sz="4" w:space="0" w:color="auto"/>
            </w:tcBorders>
            <w:noWrap/>
            <w:vAlign w:val="center"/>
          </w:tcPr>
          <w:p w14:paraId="0E654E05"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F6EC6F8" w14:textId="77777777" w:rsidR="00D914E8" w:rsidRPr="00F905F4" w:rsidRDefault="00D914E8"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71A55BC7"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59DB2526" w14:textId="53F0EBDB"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5.2.</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A574957" w14:textId="3BB48DEC"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r w:rsidRPr="00F905F4">
              <w:rPr>
                <w:rFonts w:ascii="Times New Roman" w:eastAsia="Times New Roman" w:hAnsi="Times New Roman" w:cs="Times New Roman"/>
                <w:b/>
                <w:bCs/>
                <w:kern w:val="0"/>
                <w:sz w:val="24"/>
                <w:szCs w:val="24"/>
                <w:lang w:eastAsia="en-IE"/>
                <w14:ligatures w14:val="none"/>
              </w:rPr>
              <w:t>Sustainability</w:t>
            </w:r>
          </w:p>
        </w:tc>
      </w:tr>
      <w:tr w:rsidR="00D219EA" w:rsidRPr="00F905F4" w14:paraId="7A674E9F"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08848723" w14:textId="0EC0F8A2" w:rsidR="00D219EA" w:rsidRPr="00F905F4" w:rsidRDefault="008A700D" w:rsidP="00637AB3">
            <w:pPr>
              <w:spacing w:after="0" w:line="240" w:lineRule="auto"/>
              <w:rPr>
                <w:rFonts w:ascii="Times New Roman" w:eastAsia="Times New Roman" w:hAnsi="Times New Roman" w:cs="Times New Roman"/>
                <w:kern w:val="0"/>
                <w:sz w:val="24"/>
                <w:szCs w:val="24"/>
                <w:lang w:eastAsia="en-IE"/>
                <w14:ligatures w14:val="none"/>
              </w:rPr>
            </w:pPr>
            <w:r w:rsidRPr="008A700D">
              <w:rPr>
                <w:rFonts w:ascii="Times New Roman" w:eastAsia="Times New Roman" w:hAnsi="Times New Roman" w:cs="Times New Roman"/>
                <w:kern w:val="0"/>
                <w:sz w:val="24"/>
                <w:szCs w:val="24"/>
                <w:lang w:eastAsia="en-IE"/>
                <w14:ligatures w14:val="none"/>
              </w:rPr>
              <w:t>5.2.1</w:t>
            </w:r>
          </w:p>
        </w:tc>
        <w:tc>
          <w:tcPr>
            <w:tcW w:w="5766" w:type="dxa"/>
            <w:tcBorders>
              <w:top w:val="single" w:sz="4" w:space="0" w:color="auto"/>
              <w:left w:val="single" w:sz="4" w:space="0" w:color="auto"/>
              <w:bottom w:val="single" w:sz="4" w:space="0" w:color="auto"/>
              <w:right w:val="single" w:sz="4" w:space="0" w:color="auto"/>
            </w:tcBorders>
            <w:vAlign w:val="center"/>
          </w:tcPr>
          <w:p w14:paraId="372B9111" w14:textId="5C7850CF" w:rsidR="008A700D" w:rsidRPr="00F905F4" w:rsidRDefault="008A700D" w:rsidP="008A700D">
            <w:pPr>
              <w:spacing w:after="240" w:line="240" w:lineRule="auto"/>
              <w:jc w:val="both"/>
              <w:rPr>
                <w:rFonts w:ascii="Times New Roman" w:eastAsia="Times New Roman" w:hAnsi="Times New Roman" w:cs="Times New Roman"/>
                <w:kern w:val="0"/>
                <w:sz w:val="24"/>
                <w:szCs w:val="24"/>
                <w:lang w:eastAsia="en-IE"/>
                <w14:ligatures w14:val="none"/>
              </w:rPr>
            </w:pPr>
            <w:r w:rsidRPr="008A700D">
              <w:rPr>
                <w:rFonts w:ascii="Times New Roman" w:eastAsia="Times New Roman" w:hAnsi="Times New Roman" w:cs="Times New Roman"/>
                <w:kern w:val="0"/>
                <w:sz w:val="24"/>
                <w:szCs w:val="24"/>
                <w:lang w:eastAsia="en-IE"/>
                <w14:ligatures w14:val="none"/>
              </w:rPr>
              <w:t>Procurement and lifecycle management of equipment purchased under this Call must draw on the guidance of ISO 20400 (</w:t>
            </w:r>
            <w:r w:rsidRPr="008A700D">
              <w:rPr>
                <w:rFonts w:ascii="Times New Roman" w:eastAsia="Times New Roman" w:hAnsi="Times New Roman" w:cs="Times New Roman"/>
                <w:kern w:val="0"/>
                <w:sz w:val="24"/>
                <w:szCs w:val="24"/>
                <w:vertAlign w:val="superscript"/>
                <w:lang w:eastAsia="en-IE"/>
                <w14:ligatures w14:val="none"/>
              </w:rPr>
              <w:footnoteReference w:id="15"/>
            </w:r>
            <w:r w:rsidRPr="008A700D">
              <w:rPr>
                <w:rFonts w:ascii="Times New Roman" w:eastAsia="Times New Roman" w:hAnsi="Times New Roman" w:cs="Times New Roman"/>
                <w:kern w:val="0"/>
                <w:sz w:val="24"/>
                <w:szCs w:val="24"/>
                <w:lang w:eastAsia="en-IE"/>
                <w14:ligatures w14:val="none"/>
              </w:rPr>
              <w:t>) and ISO/IEC/IEEE 24748-1 (</w:t>
            </w:r>
            <w:r w:rsidRPr="008A700D">
              <w:rPr>
                <w:rFonts w:ascii="Times New Roman" w:eastAsia="Times New Roman" w:hAnsi="Times New Roman" w:cs="Times New Roman"/>
                <w:kern w:val="0"/>
                <w:sz w:val="24"/>
                <w:szCs w:val="24"/>
                <w:vertAlign w:val="superscript"/>
                <w:lang w:eastAsia="en-IE"/>
                <w14:ligatures w14:val="none"/>
              </w:rPr>
              <w:footnoteReference w:id="16"/>
            </w:r>
            <w:r w:rsidRPr="008A700D">
              <w:rPr>
                <w:rFonts w:ascii="Times New Roman" w:eastAsia="Times New Roman" w:hAnsi="Times New Roman" w:cs="Times New Roman"/>
                <w:kern w:val="0"/>
                <w:sz w:val="24"/>
                <w:szCs w:val="24"/>
                <w:lang w:eastAsia="en-IE"/>
                <w14:ligatures w14:val="none"/>
              </w:rPr>
              <w:t>) other applicable standards or best practices such as e.g. ISO 14001 (</w:t>
            </w:r>
            <w:r w:rsidRPr="008A700D">
              <w:rPr>
                <w:rFonts w:ascii="Times New Roman" w:eastAsia="Times New Roman" w:hAnsi="Times New Roman" w:cs="Times New Roman"/>
                <w:kern w:val="0"/>
                <w:sz w:val="24"/>
                <w:szCs w:val="24"/>
                <w:vertAlign w:val="superscript"/>
                <w:lang w:eastAsia="en-IE"/>
                <w14:ligatures w14:val="none"/>
              </w:rPr>
              <w:footnoteReference w:id="17"/>
            </w:r>
            <w:r w:rsidRPr="008A700D">
              <w:rPr>
                <w:rFonts w:ascii="Times New Roman" w:eastAsia="Times New Roman" w:hAnsi="Times New Roman" w:cs="Times New Roman"/>
                <w:kern w:val="0"/>
                <w:sz w:val="24"/>
                <w:szCs w:val="24"/>
                <w:lang w:eastAsia="en-IE"/>
                <w14:ligatures w14:val="none"/>
              </w:rPr>
              <w:t>), ISO 14090 (</w:t>
            </w:r>
            <w:r w:rsidRPr="008A700D">
              <w:rPr>
                <w:rFonts w:ascii="Times New Roman" w:eastAsia="Times New Roman" w:hAnsi="Times New Roman" w:cs="Times New Roman"/>
                <w:kern w:val="0"/>
                <w:sz w:val="24"/>
                <w:szCs w:val="24"/>
                <w:vertAlign w:val="superscript"/>
                <w:lang w:eastAsia="en-IE"/>
                <w14:ligatures w14:val="none"/>
              </w:rPr>
              <w:footnoteReference w:id="18"/>
            </w:r>
            <w:r w:rsidRPr="008A700D">
              <w:rPr>
                <w:rFonts w:ascii="Times New Roman" w:eastAsia="Times New Roman" w:hAnsi="Times New Roman" w:cs="Times New Roman"/>
                <w:kern w:val="0"/>
                <w:sz w:val="24"/>
                <w:szCs w:val="24"/>
                <w:lang w:eastAsia="en-IE"/>
                <w14:ligatures w14:val="none"/>
              </w:rPr>
              <w:t>), ISO 26000 (</w:t>
            </w:r>
            <w:r w:rsidRPr="008A700D">
              <w:rPr>
                <w:rFonts w:ascii="Times New Roman" w:eastAsia="Times New Roman" w:hAnsi="Times New Roman" w:cs="Times New Roman"/>
                <w:kern w:val="0"/>
                <w:sz w:val="24"/>
                <w:szCs w:val="24"/>
                <w:vertAlign w:val="superscript"/>
                <w:lang w:eastAsia="en-IE"/>
                <w14:ligatures w14:val="none"/>
              </w:rPr>
              <w:footnoteReference w:id="19"/>
            </w:r>
            <w:r w:rsidRPr="008A700D">
              <w:rPr>
                <w:rFonts w:ascii="Times New Roman" w:eastAsia="Times New Roman" w:hAnsi="Times New Roman" w:cs="Times New Roman"/>
                <w:kern w:val="0"/>
                <w:sz w:val="24"/>
                <w:szCs w:val="24"/>
                <w:lang w:eastAsia="en-IE"/>
                <w14:ligatures w14:val="none"/>
              </w:rPr>
              <w:t>), ISO 50001 (</w:t>
            </w:r>
            <w:r w:rsidRPr="008A700D">
              <w:rPr>
                <w:rFonts w:ascii="Times New Roman" w:eastAsia="Times New Roman" w:hAnsi="Times New Roman" w:cs="Times New Roman"/>
                <w:kern w:val="0"/>
                <w:sz w:val="24"/>
                <w:szCs w:val="24"/>
                <w:vertAlign w:val="superscript"/>
                <w:lang w:eastAsia="en-IE"/>
                <w14:ligatures w14:val="none"/>
              </w:rPr>
              <w:footnoteReference w:id="20"/>
            </w:r>
            <w:r w:rsidRPr="008A700D">
              <w:rPr>
                <w:rFonts w:ascii="Times New Roman" w:eastAsia="Times New Roman" w:hAnsi="Times New Roman" w:cs="Times New Roman"/>
                <w:kern w:val="0"/>
                <w:sz w:val="24"/>
                <w:szCs w:val="24"/>
                <w:lang w:eastAsia="en-IE"/>
                <w14:ligatures w14:val="none"/>
              </w:rPr>
              <w:t>) in relation to:</w:t>
            </w:r>
          </w:p>
          <w:p w14:paraId="1E0FB117" w14:textId="77777777" w:rsidR="00581BD3" w:rsidRPr="00581BD3" w:rsidRDefault="00581BD3" w:rsidP="00581BD3">
            <w:pPr>
              <w:numPr>
                <w:ilvl w:val="0"/>
                <w:numId w:val="8"/>
              </w:numPr>
              <w:spacing w:before="120" w:after="120" w:line="260" w:lineRule="exact"/>
              <w:jc w:val="both"/>
              <w:rPr>
                <w:rFonts w:ascii="Times New Roman" w:eastAsia="Calibri" w:hAnsi="Times New Roman" w:cs="Times New Roman"/>
                <w:kern w:val="0"/>
                <w:sz w:val="24"/>
                <w:szCs w:val="24"/>
                <w14:ligatures w14:val="none"/>
              </w:rPr>
            </w:pPr>
            <w:r w:rsidRPr="00581BD3">
              <w:rPr>
                <w:rFonts w:ascii="Times New Roman" w:eastAsia="Calibri" w:hAnsi="Times New Roman" w:cs="Times New Roman"/>
                <w:kern w:val="0"/>
                <w:sz w:val="24"/>
                <w:szCs w:val="24"/>
                <w14:ligatures w14:val="none"/>
              </w:rPr>
              <w:t>Overall lifecycle sustainability including on energy efficiency, consumption and fossil fuel dependency, materials consumed, pollutants emitted, and climate- and ecology impairments, from manufacturing through operation when in service to decommissioning and disposal;</w:t>
            </w:r>
          </w:p>
          <w:p w14:paraId="5B098DA7" w14:textId="77777777" w:rsidR="00581BD3" w:rsidRPr="00581BD3" w:rsidRDefault="00581BD3" w:rsidP="00581BD3">
            <w:pPr>
              <w:numPr>
                <w:ilvl w:val="0"/>
                <w:numId w:val="8"/>
              </w:numPr>
              <w:spacing w:before="120" w:after="120" w:line="260" w:lineRule="exact"/>
              <w:jc w:val="both"/>
              <w:rPr>
                <w:rFonts w:ascii="Times New Roman" w:eastAsia="Calibri" w:hAnsi="Times New Roman" w:cs="Times New Roman"/>
                <w:color w:val="000000"/>
                <w:kern w:val="0"/>
                <w:sz w:val="24"/>
                <w:szCs w:val="24"/>
                <w14:ligatures w14:val="none"/>
              </w:rPr>
            </w:pPr>
            <w:r w:rsidRPr="00581BD3">
              <w:rPr>
                <w:rFonts w:ascii="Times New Roman" w:eastAsia="Calibri" w:hAnsi="Times New Roman" w:cs="Times New Roman"/>
                <w:kern w:val="0"/>
                <w:sz w:val="24"/>
                <w:szCs w:val="24"/>
                <w14:ligatures w14:val="none"/>
              </w:rPr>
              <w:t>Moral and ethical aspects taking into account both the supply chain and in-service use of the capability packages throughout their lifecycle;</w:t>
            </w:r>
          </w:p>
          <w:p w14:paraId="188C38C1" w14:textId="77777777" w:rsidR="00581BD3" w:rsidRPr="00581BD3" w:rsidRDefault="00581BD3" w:rsidP="00581BD3">
            <w:pPr>
              <w:numPr>
                <w:ilvl w:val="0"/>
                <w:numId w:val="8"/>
              </w:numPr>
              <w:spacing w:before="120" w:after="120" w:line="260" w:lineRule="exact"/>
              <w:jc w:val="both"/>
              <w:rPr>
                <w:rFonts w:ascii="Times New Roman" w:eastAsia="Calibri" w:hAnsi="Times New Roman" w:cs="Times New Roman"/>
                <w:color w:val="000000"/>
                <w:kern w:val="0"/>
                <w:sz w:val="24"/>
                <w:szCs w:val="24"/>
                <w14:ligatures w14:val="none"/>
              </w:rPr>
            </w:pPr>
            <w:r w:rsidRPr="00581BD3">
              <w:rPr>
                <w:rFonts w:ascii="Times New Roman" w:eastAsia="Calibri" w:hAnsi="Times New Roman" w:cs="Times New Roman"/>
                <w:color w:val="000000"/>
                <w:kern w:val="0"/>
                <w:sz w:val="24"/>
                <w:szCs w:val="24"/>
                <w14:ligatures w14:val="none"/>
              </w:rPr>
              <w:t>Risks associated with the supply chain, including sourcing outside the EU (in particular single sourcing), taking into account risks in relation to propriety of intellectual property, production, integration and Third Country export restrictions</w:t>
            </w:r>
          </w:p>
          <w:p w14:paraId="566A0BF8" w14:textId="77777777" w:rsidR="00581BD3" w:rsidRPr="00581BD3" w:rsidRDefault="00581BD3" w:rsidP="00581BD3">
            <w:pPr>
              <w:numPr>
                <w:ilvl w:val="0"/>
                <w:numId w:val="8"/>
              </w:numPr>
              <w:spacing w:before="120" w:after="120" w:line="260" w:lineRule="exact"/>
              <w:jc w:val="both"/>
              <w:rPr>
                <w:rFonts w:ascii="Times New Roman" w:eastAsia="Calibri" w:hAnsi="Times New Roman" w:cs="Times New Roman"/>
                <w:color w:val="000000"/>
                <w:kern w:val="0"/>
                <w:sz w:val="24"/>
                <w:szCs w:val="24"/>
                <w14:ligatures w14:val="none"/>
              </w:rPr>
            </w:pPr>
            <w:r w:rsidRPr="00581BD3">
              <w:rPr>
                <w:rFonts w:ascii="Times New Roman" w:eastAsia="Calibri" w:hAnsi="Times New Roman" w:cs="Times New Roman"/>
                <w:color w:val="000000"/>
                <w:kern w:val="0"/>
                <w:sz w:val="24"/>
                <w:szCs w:val="24"/>
                <w14:ligatures w14:val="none"/>
              </w:rPr>
              <w:t>Dependencies on Economic Operators with a high degree of Foreign Direct Investments or dependency from outside the EU, which may pose a security risk to the lifecycle management and subsequent operational availability of the capability packages.</w:t>
            </w:r>
          </w:p>
          <w:p w14:paraId="5F40EECE" w14:textId="1FBB4B52" w:rsidR="00D219EA" w:rsidRPr="00F905F4" w:rsidRDefault="00581BD3" w:rsidP="005C6933">
            <w:pPr>
              <w:numPr>
                <w:ilvl w:val="0"/>
                <w:numId w:val="8"/>
              </w:numPr>
              <w:spacing w:before="120"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Calibri" w:hAnsi="Times New Roman" w:cs="Times New Roman"/>
                <w:color w:val="000000"/>
                <w:kern w:val="0"/>
                <w:sz w:val="24"/>
                <w:szCs w:val="24"/>
                <w14:ligatures w14:val="none"/>
              </w:rPr>
              <w:t>Fostering the growth and innovation potential of Economic Operators based in the European Union.</w:t>
            </w:r>
          </w:p>
        </w:tc>
        <w:tc>
          <w:tcPr>
            <w:tcW w:w="2800" w:type="dxa"/>
            <w:tcBorders>
              <w:top w:val="single" w:sz="4" w:space="0" w:color="auto"/>
              <w:left w:val="single" w:sz="4" w:space="0" w:color="auto"/>
              <w:bottom w:val="single" w:sz="4" w:space="0" w:color="auto"/>
              <w:right w:val="single" w:sz="4" w:space="0" w:color="auto"/>
            </w:tcBorders>
            <w:noWrap/>
            <w:vAlign w:val="center"/>
          </w:tcPr>
          <w:p w14:paraId="59162B4D"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2881A57"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6A1D73" w:rsidRPr="00F905F4" w14:paraId="5E346643"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noWrap/>
            <w:vAlign w:val="center"/>
          </w:tcPr>
          <w:p w14:paraId="684033DA" w14:textId="4F38F596" w:rsidR="006A1D73" w:rsidRPr="00F905F4" w:rsidRDefault="006A1D73" w:rsidP="00637AB3">
            <w:pPr>
              <w:spacing w:after="0" w:line="240" w:lineRule="auto"/>
              <w:rPr>
                <w:rFonts w:ascii="Times New Roman" w:eastAsia="Times New Roman" w:hAnsi="Times New Roman" w:cs="Times New Roman"/>
                <w:b/>
                <w:bCs/>
                <w:kern w:val="0"/>
                <w:sz w:val="24"/>
                <w:szCs w:val="24"/>
                <w:lang w:eastAsia="en-IE"/>
                <w14:ligatures w14:val="none"/>
              </w:rPr>
            </w:pPr>
            <w:r w:rsidRPr="00F905F4">
              <w:rPr>
                <w:rFonts w:ascii="Times New Roman" w:eastAsia="Times New Roman" w:hAnsi="Times New Roman" w:cs="Times New Roman"/>
                <w:b/>
                <w:bCs/>
                <w:kern w:val="0"/>
                <w:sz w:val="24"/>
                <w:szCs w:val="24"/>
                <w:lang w:eastAsia="en-IE"/>
                <w14:ligatures w14:val="none"/>
              </w:rPr>
              <w:t>5.3</w:t>
            </w:r>
          </w:p>
        </w:tc>
        <w:tc>
          <w:tcPr>
            <w:tcW w:w="11906" w:type="dxa"/>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4C6BCA15" w14:textId="65EFE2CA" w:rsidR="006A1D73" w:rsidRPr="00F905F4" w:rsidRDefault="006A1D73"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bookmarkStart w:id="4" w:name="_Toc203404029"/>
            <w:r w:rsidRPr="003428F9">
              <w:rPr>
                <w:rFonts w:ascii="Times New Roman" w:eastAsia="Calibri" w:hAnsi="Times New Roman" w:cs="Times New Roman"/>
                <w:b/>
                <w:kern w:val="0"/>
                <w:sz w:val="24"/>
                <w:szCs w:val="24"/>
                <w14:ligatures w14:val="none"/>
              </w:rPr>
              <w:t>Safety, Security, Health and Compliance</w:t>
            </w:r>
            <w:bookmarkEnd w:id="4"/>
          </w:p>
        </w:tc>
      </w:tr>
      <w:tr w:rsidR="00D219EA" w:rsidRPr="00F905F4" w14:paraId="5C8F0B1C"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B4401FE" w14:textId="583BE494" w:rsidR="00D219EA" w:rsidRPr="00F905F4" w:rsidRDefault="00A53FD7" w:rsidP="00637AB3">
            <w:pPr>
              <w:spacing w:after="0" w:line="240" w:lineRule="auto"/>
              <w:rPr>
                <w:rFonts w:ascii="Times New Roman" w:eastAsia="Times New Roman" w:hAnsi="Times New Roman" w:cs="Times New Roman"/>
                <w:kern w:val="0"/>
                <w:sz w:val="24"/>
                <w:szCs w:val="24"/>
                <w:lang w:eastAsia="en-IE"/>
                <w14:ligatures w14:val="none"/>
              </w:rPr>
            </w:pPr>
            <w:r w:rsidRPr="00A53FD7">
              <w:rPr>
                <w:rFonts w:ascii="Times New Roman" w:eastAsia="Times New Roman" w:hAnsi="Times New Roman" w:cs="Times New Roman"/>
                <w:kern w:val="0"/>
                <w:sz w:val="24"/>
                <w:szCs w:val="24"/>
                <w:lang w:eastAsia="en-IE"/>
                <w14:ligatures w14:val="none"/>
              </w:rPr>
              <w:t>5.3.1</w:t>
            </w:r>
          </w:p>
        </w:tc>
        <w:tc>
          <w:tcPr>
            <w:tcW w:w="5766" w:type="dxa"/>
            <w:tcBorders>
              <w:top w:val="single" w:sz="4" w:space="0" w:color="auto"/>
              <w:left w:val="single" w:sz="4" w:space="0" w:color="auto"/>
              <w:bottom w:val="single" w:sz="4" w:space="0" w:color="auto"/>
              <w:right w:val="single" w:sz="4" w:space="0" w:color="auto"/>
            </w:tcBorders>
            <w:vAlign w:val="center"/>
          </w:tcPr>
          <w:p w14:paraId="1B0D2519" w14:textId="5061DDF1" w:rsidR="00D219EA" w:rsidRPr="00F905F4" w:rsidRDefault="00A53FD7" w:rsidP="00A53FD7">
            <w:pPr>
              <w:spacing w:after="240" w:line="240" w:lineRule="auto"/>
              <w:jc w:val="both"/>
              <w:rPr>
                <w:rFonts w:ascii="Times New Roman" w:eastAsia="Times New Roman" w:hAnsi="Times New Roman" w:cs="Times New Roman"/>
                <w:kern w:val="0"/>
                <w:sz w:val="24"/>
                <w:szCs w:val="24"/>
                <w:lang w:eastAsia="en-IE"/>
                <w14:ligatures w14:val="none"/>
              </w:rPr>
            </w:pPr>
            <w:r w:rsidRPr="00A53FD7">
              <w:rPr>
                <w:rFonts w:ascii="Times New Roman" w:eastAsia="Times New Roman" w:hAnsi="Times New Roman" w:cs="Times New Roman"/>
                <w:kern w:val="0"/>
                <w:sz w:val="24"/>
                <w:szCs w:val="24"/>
                <w:lang w:eastAsia="en-IE"/>
                <w14:ligatures w14:val="none"/>
              </w:rPr>
              <w:t>Established System Safety Management standards must be applied, e.g. SM-0001 (</w:t>
            </w:r>
            <w:r w:rsidRPr="00A53FD7">
              <w:rPr>
                <w:rFonts w:ascii="Times New Roman" w:eastAsia="Times New Roman" w:hAnsi="Times New Roman" w:cs="Times New Roman"/>
                <w:kern w:val="0"/>
                <w:sz w:val="24"/>
                <w:szCs w:val="24"/>
                <w:vertAlign w:val="superscript"/>
                <w:lang w:eastAsia="en-IE"/>
                <w14:ligatures w14:val="none"/>
              </w:rPr>
              <w:footnoteReference w:id="21"/>
            </w:r>
            <w:r w:rsidRPr="00A53FD7">
              <w:rPr>
                <w:rFonts w:ascii="Times New Roman" w:eastAsia="Times New Roman" w:hAnsi="Times New Roman" w:cs="Times New Roman"/>
                <w:kern w:val="0"/>
                <w:sz w:val="24"/>
                <w:szCs w:val="24"/>
                <w:lang w:eastAsia="en-IE"/>
                <w14:ligatures w14:val="none"/>
              </w:rPr>
              <w:t>), MIL STD 882 (</w:t>
            </w:r>
            <w:r w:rsidRPr="00A53FD7">
              <w:rPr>
                <w:rFonts w:ascii="Times New Roman" w:eastAsia="Times New Roman" w:hAnsi="Times New Roman" w:cs="Times New Roman"/>
                <w:kern w:val="0"/>
                <w:sz w:val="24"/>
                <w:szCs w:val="24"/>
                <w:vertAlign w:val="superscript"/>
                <w:lang w:eastAsia="en-IE"/>
                <w14:ligatures w14:val="none"/>
              </w:rPr>
              <w:footnoteReference w:id="22"/>
            </w:r>
            <w:r w:rsidRPr="00A53FD7">
              <w:rPr>
                <w:rFonts w:ascii="Times New Roman" w:eastAsia="Times New Roman" w:hAnsi="Times New Roman" w:cs="Times New Roman"/>
                <w:kern w:val="0"/>
                <w:sz w:val="24"/>
                <w:szCs w:val="24"/>
                <w:lang w:eastAsia="en-IE"/>
                <w14:ligatures w14:val="none"/>
              </w:rPr>
              <w:t>), H SystSäk (</w:t>
            </w:r>
            <w:r w:rsidRPr="00A53FD7">
              <w:rPr>
                <w:rFonts w:ascii="Times New Roman" w:eastAsia="Times New Roman" w:hAnsi="Times New Roman" w:cs="Times New Roman"/>
                <w:kern w:val="0"/>
                <w:sz w:val="24"/>
                <w:szCs w:val="24"/>
                <w:vertAlign w:val="superscript"/>
                <w:lang w:eastAsia="en-IE"/>
                <w14:ligatures w14:val="none"/>
              </w:rPr>
              <w:footnoteReference w:id="23"/>
            </w:r>
            <w:r w:rsidRPr="00A53FD7">
              <w:rPr>
                <w:rFonts w:ascii="Times New Roman" w:eastAsia="Times New Roman" w:hAnsi="Times New Roman" w:cs="Times New Roman"/>
                <w:kern w:val="0"/>
                <w:sz w:val="24"/>
                <w:szCs w:val="24"/>
                <w:lang w:eastAsia="en-IE"/>
                <w14:ligatures w14:val="none"/>
              </w:rPr>
              <w:t>) or equivalent, to mitigate safety risks associated with the design of the equipment/overall capability packages and systems purchased under this call across their whole lifecycle, e.g. adversely affecting both the capability packages – hardware, software and personnel – and collateral.</w:t>
            </w:r>
          </w:p>
        </w:tc>
        <w:tc>
          <w:tcPr>
            <w:tcW w:w="2800" w:type="dxa"/>
            <w:tcBorders>
              <w:top w:val="single" w:sz="4" w:space="0" w:color="auto"/>
              <w:left w:val="single" w:sz="4" w:space="0" w:color="auto"/>
              <w:bottom w:val="single" w:sz="4" w:space="0" w:color="auto"/>
              <w:right w:val="single" w:sz="4" w:space="0" w:color="auto"/>
            </w:tcBorders>
            <w:noWrap/>
            <w:vAlign w:val="center"/>
          </w:tcPr>
          <w:p w14:paraId="6254EFEB"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6F850148"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219EA" w:rsidRPr="00F905F4" w14:paraId="168BCFD7"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76AA16FF" w14:textId="2FBE189C" w:rsidR="00D219EA" w:rsidRPr="00F905F4" w:rsidRDefault="00F2590E" w:rsidP="00637AB3">
            <w:pPr>
              <w:spacing w:after="0" w:line="240" w:lineRule="auto"/>
              <w:rPr>
                <w:rFonts w:ascii="Times New Roman" w:eastAsia="Times New Roman" w:hAnsi="Times New Roman" w:cs="Times New Roman"/>
                <w:kern w:val="0"/>
                <w:sz w:val="24"/>
                <w:szCs w:val="24"/>
                <w:lang w:eastAsia="en-IE"/>
                <w14:ligatures w14:val="none"/>
              </w:rPr>
            </w:pPr>
            <w:r w:rsidRPr="00F2590E">
              <w:rPr>
                <w:rFonts w:ascii="Times New Roman" w:eastAsia="Times New Roman" w:hAnsi="Times New Roman" w:cs="Times New Roman"/>
                <w:kern w:val="0"/>
                <w:sz w:val="24"/>
                <w:szCs w:val="24"/>
                <w:lang w:eastAsia="en-IE"/>
                <w14:ligatures w14:val="none"/>
              </w:rPr>
              <w:t>5.3.2</w:t>
            </w:r>
          </w:p>
        </w:tc>
        <w:tc>
          <w:tcPr>
            <w:tcW w:w="5766" w:type="dxa"/>
            <w:tcBorders>
              <w:top w:val="single" w:sz="4" w:space="0" w:color="auto"/>
              <w:left w:val="single" w:sz="4" w:space="0" w:color="auto"/>
              <w:bottom w:val="single" w:sz="4" w:space="0" w:color="auto"/>
              <w:right w:val="single" w:sz="4" w:space="0" w:color="auto"/>
            </w:tcBorders>
            <w:vAlign w:val="center"/>
          </w:tcPr>
          <w:p w14:paraId="76412F11" w14:textId="6B0EF384" w:rsidR="00D219EA" w:rsidRPr="00F905F4" w:rsidRDefault="00F2590E" w:rsidP="0075344F">
            <w:pPr>
              <w:spacing w:after="240" w:line="240" w:lineRule="auto"/>
              <w:jc w:val="both"/>
              <w:rPr>
                <w:rFonts w:ascii="Times New Roman" w:eastAsia="Times New Roman" w:hAnsi="Times New Roman" w:cs="Times New Roman"/>
                <w:kern w:val="0"/>
                <w:sz w:val="24"/>
                <w:szCs w:val="24"/>
                <w:lang w:eastAsia="en-IE"/>
                <w14:ligatures w14:val="none"/>
              </w:rPr>
            </w:pPr>
            <w:r w:rsidRPr="00F2590E">
              <w:rPr>
                <w:rFonts w:ascii="Times New Roman" w:eastAsia="Times New Roman" w:hAnsi="Times New Roman" w:cs="Times New Roman"/>
                <w:kern w:val="0"/>
                <w:sz w:val="24"/>
                <w:szCs w:val="24"/>
                <w:lang w:eastAsia="en-IE"/>
                <w14:ligatures w14:val="none"/>
              </w:rPr>
              <w:t xml:space="preserve">Measures must be taken to mitigate security risks of the equipment purchased under this Call as part of a Capability Package in terms of hardware, software and information integrity. </w:t>
            </w:r>
          </w:p>
        </w:tc>
        <w:tc>
          <w:tcPr>
            <w:tcW w:w="2800" w:type="dxa"/>
            <w:tcBorders>
              <w:top w:val="single" w:sz="4" w:space="0" w:color="auto"/>
              <w:left w:val="single" w:sz="4" w:space="0" w:color="auto"/>
              <w:bottom w:val="single" w:sz="4" w:space="0" w:color="auto"/>
              <w:right w:val="single" w:sz="4" w:space="0" w:color="auto"/>
            </w:tcBorders>
            <w:noWrap/>
            <w:vAlign w:val="center"/>
          </w:tcPr>
          <w:p w14:paraId="3DB797E3"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474AAAEB"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219EA" w:rsidRPr="00F905F4" w14:paraId="76A46334"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0CB1361D" w14:textId="66BD233D" w:rsidR="00D219EA" w:rsidRPr="00F905F4" w:rsidRDefault="0075344F" w:rsidP="00637AB3">
            <w:pPr>
              <w:spacing w:after="0" w:line="240" w:lineRule="auto"/>
              <w:rPr>
                <w:rFonts w:ascii="Times New Roman" w:eastAsia="Times New Roman" w:hAnsi="Times New Roman" w:cs="Times New Roman"/>
                <w:kern w:val="0"/>
                <w:sz w:val="24"/>
                <w:szCs w:val="24"/>
                <w:lang w:eastAsia="en-IE"/>
                <w14:ligatures w14:val="none"/>
              </w:rPr>
            </w:pPr>
            <w:r w:rsidRPr="0075344F">
              <w:rPr>
                <w:rFonts w:ascii="Times New Roman" w:eastAsia="Times New Roman" w:hAnsi="Times New Roman" w:cs="Times New Roman"/>
                <w:kern w:val="0"/>
                <w:sz w:val="24"/>
                <w:szCs w:val="24"/>
                <w:lang w:eastAsia="en-IE"/>
                <w14:ligatures w14:val="none"/>
              </w:rPr>
              <w:t>5.3.3</w:t>
            </w:r>
          </w:p>
        </w:tc>
        <w:tc>
          <w:tcPr>
            <w:tcW w:w="5766" w:type="dxa"/>
            <w:tcBorders>
              <w:top w:val="single" w:sz="4" w:space="0" w:color="auto"/>
              <w:left w:val="single" w:sz="4" w:space="0" w:color="auto"/>
              <w:bottom w:val="single" w:sz="4" w:space="0" w:color="auto"/>
              <w:right w:val="single" w:sz="4" w:space="0" w:color="auto"/>
            </w:tcBorders>
            <w:vAlign w:val="center"/>
          </w:tcPr>
          <w:p w14:paraId="0575A332" w14:textId="5CE24FCB" w:rsidR="00D219EA" w:rsidRPr="00F905F4" w:rsidRDefault="0075344F" w:rsidP="0075344F">
            <w:pPr>
              <w:spacing w:after="240" w:line="240" w:lineRule="auto"/>
              <w:jc w:val="both"/>
              <w:rPr>
                <w:rFonts w:ascii="Times New Roman" w:eastAsia="Times New Roman" w:hAnsi="Times New Roman" w:cs="Times New Roman"/>
                <w:kern w:val="0"/>
                <w:sz w:val="24"/>
                <w:szCs w:val="24"/>
                <w:lang w:eastAsia="en-IE"/>
                <w14:ligatures w14:val="none"/>
              </w:rPr>
            </w:pPr>
            <w:r w:rsidRPr="0075344F">
              <w:rPr>
                <w:rFonts w:ascii="Times New Roman" w:eastAsia="Times New Roman" w:hAnsi="Times New Roman" w:cs="Times New Roman"/>
                <w:kern w:val="0"/>
                <w:sz w:val="24"/>
                <w:szCs w:val="24"/>
                <w:lang w:eastAsia="en-IE"/>
                <w14:ligatures w14:val="none"/>
              </w:rPr>
              <w:t>ISO 45000 (</w:t>
            </w:r>
            <w:r w:rsidRPr="0075344F">
              <w:rPr>
                <w:rFonts w:ascii="Times New Roman" w:eastAsia="Times New Roman" w:hAnsi="Times New Roman" w:cs="Times New Roman"/>
                <w:kern w:val="0"/>
                <w:sz w:val="24"/>
                <w:szCs w:val="24"/>
                <w:vertAlign w:val="superscript"/>
                <w:lang w:eastAsia="en-IE"/>
                <w14:ligatures w14:val="none"/>
              </w:rPr>
              <w:footnoteReference w:id="24"/>
            </w:r>
            <w:r w:rsidRPr="0075344F">
              <w:rPr>
                <w:rFonts w:ascii="Times New Roman" w:eastAsia="Times New Roman" w:hAnsi="Times New Roman" w:cs="Times New Roman"/>
                <w:kern w:val="0"/>
                <w:sz w:val="24"/>
                <w:szCs w:val="24"/>
                <w:lang w:eastAsia="en-IE"/>
                <w14:ligatures w14:val="none"/>
              </w:rPr>
              <w:t>) must be adhered to when operating the Capability Packages.</w:t>
            </w:r>
          </w:p>
        </w:tc>
        <w:tc>
          <w:tcPr>
            <w:tcW w:w="2800" w:type="dxa"/>
            <w:tcBorders>
              <w:top w:val="single" w:sz="4" w:space="0" w:color="auto"/>
              <w:left w:val="single" w:sz="4" w:space="0" w:color="auto"/>
              <w:bottom w:val="single" w:sz="4" w:space="0" w:color="auto"/>
              <w:right w:val="single" w:sz="4" w:space="0" w:color="auto"/>
            </w:tcBorders>
            <w:noWrap/>
            <w:vAlign w:val="center"/>
          </w:tcPr>
          <w:p w14:paraId="0D027289"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31F09C2E"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219EA" w:rsidRPr="00F905F4" w14:paraId="738288B5"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1B7EC192" w14:textId="52B9DA58" w:rsidR="00D219EA" w:rsidRPr="00F905F4" w:rsidRDefault="00A14739" w:rsidP="00637AB3">
            <w:pPr>
              <w:spacing w:after="0" w:line="240" w:lineRule="auto"/>
              <w:rPr>
                <w:rFonts w:ascii="Times New Roman" w:eastAsia="Times New Roman" w:hAnsi="Times New Roman" w:cs="Times New Roman"/>
                <w:kern w:val="0"/>
                <w:sz w:val="24"/>
                <w:szCs w:val="24"/>
                <w:lang w:eastAsia="en-IE"/>
                <w14:ligatures w14:val="none"/>
              </w:rPr>
            </w:pPr>
            <w:r w:rsidRPr="00A14739">
              <w:rPr>
                <w:rFonts w:ascii="Times New Roman" w:eastAsia="Times New Roman" w:hAnsi="Times New Roman" w:cs="Times New Roman"/>
                <w:kern w:val="0"/>
                <w:sz w:val="24"/>
                <w:szCs w:val="24"/>
                <w:lang w:eastAsia="en-IE"/>
                <w14:ligatures w14:val="none"/>
              </w:rPr>
              <w:t>5.3.4</w:t>
            </w:r>
          </w:p>
        </w:tc>
        <w:tc>
          <w:tcPr>
            <w:tcW w:w="5766" w:type="dxa"/>
            <w:tcBorders>
              <w:top w:val="single" w:sz="4" w:space="0" w:color="auto"/>
              <w:left w:val="single" w:sz="4" w:space="0" w:color="auto"/>
              <w:bottom w:val="single" w:sz="4" w:space="0" w:color="auto"/>
              <w:right w:val="single" w:sz="4" w:space="0" w:color="auto"/>
            </w:tcBorders>
            <w:vAlign w:val="center"/>
          </w:tcPr>
          <w:p w14:paraId="68D4C54B" w14:textId="054CA83F" w:rsidR="00D219EA" w:rsidRPr="00F905F4" w:rsidRDefault="00A14739" w:rsidP="00A14739">
            <w:pPr>
              <w:spacing w:after="240" w:line="240" w:lineRule="auto"/>
              <w:jc w:val="both"/>
              <w:rPr>
                <w:rFonts w:ascii="Times New Roman" w:eastAsia="Times New Roman" w:hAnsi="Times New Roman" w:cs="Times New Roman"/>
                <w:kern w:val="0"/>
                <w:sz w:val="24"/>
                <w:szCs w:val="24"/>
                <w:lang w:eastAsia="en-IE"/>
                <w14:ligatures w14:val="none"/>
              </w:rPr>
            </w:pPr>
            <w:r w:rsidRPr="00A14739">
              <w:rPr>
                <w:rFonts w:ascii="Times New Roman" w:eastAsia="Times New Roman" w:hAnsi="Times New Roman" w:cs="Times New Roman"/>
                <w:kern w:val="0"/>
                <w:sz w:val="24"/>
                <w:szCs w:val="24"/>
                <w:lang w:eastAsia="en-IE"/>
                <w14:ligatures w14:val="none"/>
              </w:rPr>
              <w:t>Airborne equipment and systems must comply with other relevant legislation and international standards, specifically in relation to materials, safety and operation, such as EU Regulations 2019/947 (</w:t>
            </w:r>
            <w:r w:rsidRPr="00A14739">
              <w:rPr>
                <w:rFonts w:ascii="Times New Roman" w:eastAsia="Times New Roman" w:hAnsi="Times New Roman" w:cs="Times New Roman"/>
                <w:kern w:val="0"/>
                <w:sz w:val="24"/>
                <w:szCs w:val="24"/>
                <w:vertAlign w:val="superscript"/>
                <w:lang w:eastAsia="en-IE"/>
                <w14:ligatures w14:val="none"/>
              </w:rPr>
              <w:footnoteReference w:id="25"/>
            </w:r>
            <w:r w:rsidRPr="00A14739">
              <w:rPr>
                <w:rFonts w:ascii="Times New Roman" w:eastAsia="Times New Roman" w:hAnsi="Times New Roman" w:cs="Times New Roman"/>
                <w:kern w:val="0"/>
                <w:sz w:val="24"/>
                <w:szCs w:val="24"/>
                <w:lang w:eastAsia="en-IE"/>
                <w14:ligatures w14:val="none"/>
              </w:rPr>
              <w:t>) and 2019/945 (</w:t>
            </w:r>
            <w:r w:rsidRPr="00A14739">
              <w:rPr>
                <w:rFonts w:ascii="Times New Roman" w:eastAsia="Times New Roman" w:hAnsi="Times New Roman" w:cs="Times New Roman"/>
                <w:kern w:val="0"/>
                <w:sz w:val="24"/>
                <w:szCs w:val="24"/>
                <w:vertAlign w:val="superscript"/>
                <w:lang w:eastAsia="en-IE"/>
                <w14:ligatures w14:val="none"/>
              </w:rPr>
              <w:footnoteReference w:id="26"/>
            </w:r>
            <w:r w:rsidRPr="00A14739">
              <w:rPr>
                <w:rFonts w:ascii="Times New Roman" w:eastAsia="Times New Roman" w:hAnsi="Times New Roman" w:cs="Times New Roman"/>
                <w:kern w:val="0"/>
                <w:sz w:val="24"/>
                <w:szCs w:val="24"/>
                <w:lang w:eastAsia="en-IE"/>
                <w14:ligatures w14:val="none"/>
              </w:rPr>
              <w:t>), ISO 17717 (</w:t>
            </w:r>
            <w:r w:rsidRPr="00A14739">
              <w:rPr>
                <w:rFonts w:ascii="Times New Roman" w:eastAsia="Times New Roman" w:hAnsi="Times New Roman" w:cs="Times New Roman"/>
                <w:kern w:val="0"/>
                <w:sz w:val="24"/>
                <w:szCs w:val="24"/>
                <w:vertAlign w:val="superscript"/>
                <w:lang w:eastAsia="en-IE"/>
                <w14:ligatures w14:val="none"/>
              </w:rPr>
              <w:footnoteReference w:id="27"/>
            </w:r>
            <w:r w:rsidRPr="00A14739">
              <w:rPr>
                <w:rFonts w:ascii="Times New Roman" w:eastAsia="Times New Roman" w:hAnsi="Times New Roman" w:cs="Times New Roman"/>
                <w:kern w:val="0"/>
                <w:sz w:val="24"/>
                <w:szCs w:val="24"/>
                <w:lang w:eastAsia="en-IE"/>
                <w14:ligatures w14:val="none"/>
              </w:rPr>
              <w:t>) and ISO 21384-3 (</w:t>
            </w:r>
            <w:r w:rsidRPr="00A14739">
              <w:rPr>
                <w:rFonts w:ascii="Times New Roman" w:eastAsia="Times New Roman" w:hAnsi="Times New Roman" w:cs="Times New Roman"/>
                <w:kern w:val="0"/>
                <w:sz w:val="24"/>
                <w:szCs w:val="24"/>
                <w:vertAlign w:val="superscript"/>
                <w:lang w:eastAsia="en-IE"/>
                <w14:ligatures w14:val="none"/>
              </w:rPr>
              <w:footnoteReference w:id="28"/>
            </w:r>
            <w:r w:rsidRPr="00A14739">
              <w:rPr>
                <w:rFonts w:ascii="Times New Roman" w:eastAsia="Times New Roman" w:hAnsi="Times New Roman" w:cs="Times New Roman"/>
                <w:kern w:val="0"/>
                <w:sz w:val="24"/>
                <w:szCs w:val="24"/>
                <w:lang w:eastAsia="en-IE"/>
                <w14:ligatures w14:val="none"/>
              </w:rPr>
              <w:t>)</w:t>
            </w:r>
            <w:r w:rsidR="00C400F6" w:rsidRPr="00F905F4">
              <w:rPr>
                <w:rFonts w:ascii="Times New Roman" w:eastAsia="Times New Roman" w:hAnsi="Times New Roman" w:cs="Times New Roman"/>
                <w:kern w:val="0"/>
                <w:sz w:val="24"/>
                <w:szCs w:val="24"/>
                <w:lang w:eastAsia="en-IE"/>
                <w14:ligatures w14:val="none"/>
              </w:rPr>
              <w:t>.</w:t>
            </w:r>
          </w:p>
        </w:tc>
        <w:tc>
          <w:tcPr>
            <w:tcW w:w="2800" w:type="dxa"/>
            <w:tcBorders>
              <w:top w:val="single" w:sz="4" w:space="0" w:color="auto"/>
              <w:left w:val="single" w:sz="4" w:space="0" w:color="auto"/>
              <w:bottom w:val="single" w:sz="4" w:space="0" w:color="auto"/>
              <w:right w:val="single" w:sz="4" w:space="0" w:color="auto"/>
            </w:tcBorders>
            <w:noWrap/>
            <w:vAlign w:val="center"/>
          </w:tcPr>
          <w:p w14:paraId="45A1C47C"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69FB94A6"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219EA" w:rsidRPr="00F905F4" w14:paraId="15DC5D09"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71C370E0" w14:textId="6208F90C" w:rsidR="00D219EA" w:rsidRPr="00F905F4" w:rsidRDefault="002539C5" w:rsidP="00637AB3">
            <w:pPr>
              <w:spacing w:after="0" w:line="240" w:lineRule="auto"/>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5.3.5</w:t>
            </w:r>
          </w:p>
        </w:tc>
        <w:tc>
          <w:tcPr>
            <w:tcW w:w="5766" w:type="dxa"/>
            <w:tcBorders>
              <w:top w:val="single" w:sz="4" w:space="0" w:color="auto"/>
              <w:left w:val="single" w:sz="4" w:space="0" w:color="auto"/>
              <w:bottom w:val="single" w:sz="4" w:space="0" w:color="auto"/>
              <w:right w:val="single" w:sz="4" w:space="0" w:color="auto"/>
            </w:tcBorders>
            <w:vAlign w:val="center"/>
          </w:tcPr>
          <w:p w14:paraId="71CE3B95" w14:textId="1EEC15B1" w:rsidR="00D219EA" w:rsidRPr="00F905F4" w:rsidRDefault="002539C5" w:rsidP="00111C97">
            <w:pPr>
              <w:spacing w:after="240" w:line="240" w:lineRule="auto"/>
              <w:jc w:val="both"/>
              <w:rPr>
                <w:rFonts w:ascii="Times New Roman" w:eastAsia="Times New Roman" w:hAnsi="Times New Roman" w:cs="Times New Roman"/>
                <w:kern w:val="0"/>
                <w:sz w:val="24"/>
                <w:szCs w:val="24"/>
                <w:lang w:eastAsia="en-IE"/>
                <w14:ligatures w14:val="none"/>
              </w:rPr>
            </w:pPr>
            <w:r w:rsidRPr="00F905F4">
              <w:rPr>
                <w:rFonts w:ascii="Times New Roman" w:eastAsia="Times New Roman" w:hAnsi="Times New Roman" w:cs="Times New Roman"/>
                <w:kern w:val="0"/>
                <w:sz w:val="24"/>
                <w:szCs w:val="24"/>
                <w:lang w:eastAsia="en-IE"/>
                <w14:ligatures w14:val="none"/>
              </w:rPr>
              <w:t>Seaborne equipment should be built in accordance with established Classification Society Rules within the framework of the International Association of Classification Societies (IACS).</w:t>
            </w:r>
          </w:p>
        </w:tc>
        <w:tc>
          <w:tcPr>
            <w:tcW w:w="2800" w:type="dxa"/>
            <w:tcBorders>
              <w:top w:val="single" w:sz="4" w:space="0" w:color="auto"/>
              <w:left w:val="single" w:sz="4" w:space="0" w:color="auto"/>
              <w:bottom w:val="single" w:sz="4" w:space="0" w:color="auto"/>
              <w:right w:val="single" w:sz="4" w:space="0" w:color="auto"/>
            </w:tcBorders>
            <w:noWrap/>
            <w:vAlign w:val="center"/>
          </w:tcPr>
          <w:p w14:paraId="0FD0A6DD"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529E16C5"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r w:rsidR="00D219EA" w:rsidRPr="00F905F4" w14:paraId="69A77FC0" w14:textId="77777777" w:rsidTr="0092712D">
        <w:trPr>
          <w:trHeight w:val="699"/>
        </w:trPr>
        <w:tc>
          <w:tcPr>
            <w:tcW w:w="1134" w:type="dxa"/>
            <w:tcBorders>
              <w:top w:val="single" w:sz="4" w:space="0" w:color="auto"/>
              <w:left w:val="single" w:sz="4" w:space="0" w:color="auto"/>
              <w:bottom w:val="single" w:sz="4" w:space="0" w:color="auto"/>
              <w:right w:val="single" w:sz="4" w:space="0" w:color="auto"/>
            </w:tcBorders>
            <w:noWrap/>
            <w:vAlign w:val="center"/>
          </w:tcPr>
          <w:p w14:paraId="41E9D11A" w14:textId="455198E8" w:rsidR="00D219EA" w:rsidRPr="00F905F4" w:rsidRDefault="009B68CC" w:rsidP="00637AB3">
            <w:pPr>
              <w:spacing w:after="0" w:line="240" w:lineRule="auto"/>
              <w:rPr>
                <w:rFonts w:ascii="Times New Roman" w:eastAsia="Times New Roman" w:hAnsi="Times New Roman" w:cs="Times New Roman"/>
                <w:kern w:val="0"/>
                <w:sz w:val="24"/>
                <w:szCs w:val="24"/>
                <w:lang w:eastAsia="en-IE"/>
                <w14:ligatures w14:val="none"/>
              </w:rPr>
            </w:pPr>
            <w:r w:rsidRPr="009B68CC">
              <w:rPr>
                <w:rFonts w:ascii="Times New Roman" w:eastAsia="Times New Roman" w:hAnsi="Times New Roman" w:cs="Times New Roman"/>
                <w:kern w:val="0"/>
                <w:sz w:val="24"/>
                <w:szCs w:val="24"/>
                <w:lang w:eastAsia="en-IE"/>
                <w14:ligatures w14:val="none"/>
              </w:rPr>
              <w:t>5.3.6</w:t>
            </w:r>
          </w:p>
        </w:tc>
        <w:tc>
          <w:tcPr>
            <w:tcW w:w="5766" w:type="dxa"/>
            <w:tcBorders>
              <w:top w:val="single" w:sz="4" w:space="0" w:color="auto"/>
              <w:left w:val="single" w:sz="4" w:space="0" w:color="auto"/>
              <w:bottom w:val="single" w:sz="4" w:space="0" w:color="auto"/>
              <w:right w:val="single" w:sz="4" w:space="0" w:color="auto"/>
            </w:tcBorders>
            <w:vAlign w:val="center"/>
          </w:tcPr>
          <w:p w14:paraId="42079A14" w14:textId="04C8417A" w:rsidR="00D219EA" w:rsidRPr="00F905F4" w:rsidRDefault="009B68CC" w:rsidP="009B68CC">
            <w:pPr>
              <w:spacing w:after="240" w:line="240" w:lineRule="auto"/>
              <w:jc w:val="both"/>
              <w:rPr>
                <w:rFonts w:ascii="Times New Roman" w:eastAsia="Times New Roman" w:hAnsi="Times New Roman" w:cs="Times New Roman"/>
                <w:kern w:val="0"/>
                <w:sz w:val="24"/>
                <w:szCs w:val="24"/>
                <w:lang w:eastAsia="en-IE"/>
                <w14:ligatures w14:val="none"/>
              </w:rPr>
            </w:pPr>
            <w:r w:rsidRPr="009B68CC">
              <w:rPr>
                <w:rFonts w:ascii="Times New Roman" w:eastAsia="Times New Roman" w:hAnsi="Times New Roman" w:cs="Times New Roman"/>
                <w:kern w:val="0"/>
                <w:sz w:val="24"/>
                <w:szCs w:val="24"/>
                <w:lang w:eastAsia="en-IE"/>
                <w14:ligatures w14:val="none"/>
              </w:rPr>
              <w:t>Cybersecurity measures must be taken in compliance with the Directive concerning measures for a high common level of security of network and information systems across the Union (</w:t>
            </w:r>
            <w:r w:rsidRPr="009B68CC">
              <w:rPr>
                <w:rFonts w:ascii="Times New Roman" w:eastAsia="Times New Roman" w:hAnsi="Times New Roman" w:cs="Times New Roman"/>
                <w:kern w:val="0"/>
                <w:sz w:val="24"/>
                <w:szCs w:val="24"/>
                <w:vertAlign w:val="superscript"/>
                <w:lang w:eastAsia="en-IE"/>
                <w14:ligatures w14:val="none"/>
              </w:rPr>
              <w:footnoteReference w:id="29"/>
            </w:r>
            <w:r w:rsidRPr="009B68CC">
              <w:rPr>
                <w:rFonts w:ascii="Times New Roman" w:eastAsia="Times New Roman" w:hAnsi="Times New Roman" w:cs="Times New Roman"/>
                <w:kern w:val="0"/>
                <w:sz w:val="24"/>
                <w:szCs w:val="24"/>
                <w:lang w:eastAsia="en-IE"/>
                <w14:ligatures w14:val="none"/>
              </w:rPr>
              <w:t>).</w:t>
            </w:r>
          </w:p>
        </w:tc>
        <w:tc>
          <w:tcPr>
            <w:tcW w:w="2800" w:type="dxa"/>
            <w:tcBorders>
              <w:top w:val="single" w:sz="4" w:space="0" w:color="auto"/>
              <w:left w:val="single" w:sz="4" w:space="0" w:color="auto"/>
              <w:bottom w:val="single" w:sz="4" w:space="0" w:color="auto"/>
              <w:right w:val="single" w:sz="4" w:space="0" w:color="auto"/>
            </w:tcBorders>
            <w:noWrap/>
            <w:vAlign w:val="center"/>
          </w:tcPr>
          <w:p w14:paraId="38AEBD9E"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c>
          <w:tcPr>
            <w:tcW w:w="3340" w:type="dxa"/>
            <w:tcBorders>
              <w:top w:val="single" w:sz="4" w:space="0" w:color="auto"/>
              <w:left w:val="single" w:sz="4" w:space="0" w:color="auto"/>
              <w:bottom w:val="single" w:sz="4" w:space="0" w:color="auto"/>
              <w:right w:val="single" w:sz="4" w:space="0" w:color="auto"/>
            </w:tcBorders>
            <w:noWrap/>
            <w:vAlign w:val="center"/>
          </w:tcPr>
          <w:p w14:paraId="22AD33C3" w14:textId="77777777" w:rsidR="00D219EA" w:rsidRPr="00F905F4" w:rsidRDefault="00D219EA" w:rsidP="00637AB3">
            <w:pPr>
              <w:spacing w:after="0" w:line="240" w:lineRule="auto"/>
              <w:rPr>
                <w:rFonts w:ascii="Times New Roman" w:eastAsia="Times New Roman" w:hAnsi="Times New Roman" w:cs="Times New Roman"/>
                <w:color w:val="000000"/>
                <w:kern w:val="0"/>
                <w:sz w:val="24"/>
                <w:szCs w:val="24"/>
                <w:lang w:val="en-IE" w:eastAsia="en-IE"/>
                <w14:ligatures w14:val="none"/>
              </w:rPr>
            </w:pPr>
          </w:p>
        </w:tc>
      </w:tr>
    </w:tbl>
    <w:p w14:paraId="0806DA16" w14:textId="77777777" w:rsidR="00E33F26" w:rsidRPr="00F905F4" w:rsidRDefault="00E33F26">
      <w:pPr>
        <w:rPr>
          <w:rFonts w:ascii="Times New Roman" w:hAnsi="Times New Roman" w:cs="Times New Roman"/>
          <w:sz w:val="24"/>
          <w:szCs w:val="24"/>
          <w:lang w:val="en-IE"/>
        </w:rPr>
      </w:pPr>
    </w:p>
    <w:sectPr w:rsidR="00E33F26" w:rsidRPr="00F905F4" w:rsidSect="00637AB3">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C893B" w14:textId="77777777" w:rsidR="00597BCE" w:rsidRDefault="00597BCE" w:rsidP="008D72B6">
      <w:pPr>
        <w:spacing w:after="0" w:line="240" w:lineRule="auto"/>
      </w:pPr>
      <w:r>
        <w:separator/>
      </w:r>
    </w:p>
  </w:endnote>
  <w:endnote w:type="continuationSeparator" w:id="0">
    <w:p w14:paraId="6EC8FF85" w14:textId="77777777" w:rsidR="00597BCE" w:rsidRDefault="00597BCE" w:rsidP="008D72B6">
      <w:pPr>
        <w:spacing w:after="0" w:line="240" w:lineRule="auto"/>
      </w:pPr>
      <w:r>
        <w:continuationSeparator/>
      </w:r>
    </w:p>
  </w:endnote>
  <w:endnote w:type="continuationNotice" w:id="1">
    <w:p w14:paraId="78D50033" w14:textId="77777777" w:rsidR="00597BCE" w:rsidRDefault="00597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54D1" w14:textId="77777777" w:rsidR="003A14EF" w:rsidRDefault="003A14E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353966"/>
      <w:docPartObj>
        <w:docPartGallery w:val="Page Numbers (Bottom of Page)"/>
        <w:docPartUnique/>
      </w:docPartObj>
    </w:sdtPr>
    <w:sdtEndPr>
      <w:rPr>
        <w:rFonts w:ascii="Times New Roman" w:hAnsi="Times New Roman" w:cs="Times New Roman"/>
        <w:noProof/>
        <w:sz w:val="20"/>
        <w:szCs w:val="20"/>
      </w:rPr>
    </w:sdtEndPr>
    <w:sdtContent>
      <w:p w14:paraId="48C3B38B" w14:textId="329DE8D0" w:rsidR="003A14EF" w:rsidRPr="006D2E92" w:rsidRDefault="003A14EF">
        <w:pPr>
          <w:pStyle w:val="Porat"/>
          <w:jc w:val="center"/>
          <w:rPr>
            <w:rFonts w:ascii="Times New Roman" w:hAnsi="Times New Roman" w:cs="Times New Roman"/>
            <w:sz w:val="20"/>
            <w:szCs w:val="20"/>
          </w:rPr>
        </w:pPr>
        <w:r w:rsidRPr="006D2E92">
          <w:rPr>
            <w:rFonts w:ascii="Times New Roman" w:hAnsi="Times New Roman" w:cs="Times New Roman"/>
            <w:sz w:val="20"/>
            <w:szCs w:val="20"/>
          </w:rPr>
          <w:fldChar w:fldCharType="begin"/>
        </w:r>
        <w:r w:rsidRPr="006D2E92">
          <w:rPr>
            <w:rFonts w:ascii="Times New Roman" w:hAnsi="Times New Roman" w:cs="Times New Roman"/>
            <w:sz w:val="20"/>
            <w:szCs w:val="20"/>
          </w:rPr>
          <w:instrText xml:space="preserve"> PAGE   \* MERGEFORMAT </w:instrText>
        </w:r>
        <w:r w:rsidRPr="006D2E92">
          <w:rPr>
            <w:rFonts w:ascii="Times New Roman" w:hAnsi="Times New Roman" w:cs="Times New Roman"/>
            <w:sz w:val="20"/>
            <w:szCs w:val="20"/>
          </w:rPr>
          <w:fldChar w:fldCharType="separate"/>
        </w:r>
        <w:r w:rsidRPr="006D2E92">
          <w:rPr>
            <w:rFonts w:ascii="Times New Roman" w:hAnsi="Times New Roman" w:cs="Times New Roman"/>
            <w:noProof/>
            <w:sz w:val="20"/>
            <w:szCs w:val="20"/>
          </w:rPr>
          <w:t>2</w:t>
        </w:r>
        <w:r w:rsidRPr="006D2E92">
          <w:rPr>
            <w:rFonts w:ascii="Times New Roman" w:hAnsi="Times New Roman" w:cs="Times New Roman"/>
            <w:noProof/>
            <w:sz w:val="20"/>
            <w:szCs w:val="20"/>
          </w:rPr>
          <w:fldChar w:fldCharType="end"/>
        </w:r>
      </w:p>
    </w:sdtContent>
  </w:sdt>
  <w:p w14:paraId="596EE2F8" w14:textId="77777777" w:rsidR="003A14EF" w:rsidRDefault="003A14E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71CD" w14:textId="77777777" w:rsidR="003A14EF" w:rsidRDefault="003A14E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3D5D5" w14:textId="77777777" w:rsidR="00597BCE" w:rsidRDefault="00597BCE" w:rsidP="008D72B6">
      <w:pPr>
        <w:spacing w:after="0" w:line="240" w:lineRule="auto"/>
      </w:pPr>
      <w:r>
        <w:separator/>
      </w:r>
    </w:p>
  </w:footnote>
  <w:footnote w:type="continuationSeparator" w:id="0">
    <w:p w14:paraId="6FFF3B26" w14:textId="77777777" w:rsidR="00597BCE" w:rsidRDefault="00597BCE" w:rsidP="008D72B6">
      <w:pPr>
        <w:spacing w:after="0" w:line="240" w:lineRule="auto"/>
      </w:pPr>
      <w:r>
        <w:continuationSeparator/>
      </w:r>
    </w:p>
  </w:footnote>
  <w:footnote w:type="continuationNotice" w:id="1">
    <w:p w14:paraId="17D3D719" w14:textId="77777777" w:rsidR="00597BCE" w:rsidRDefault="00597BCE">
      <w:pPr>
        <w:spacing w:after="0" w:line="240" w:lineRule="auto"/>
      </w:pPr>
    </w:p>
  </w:footnote>
  <w:footnote w:id="2">
    <w:p w14:paraId="60C0D1A2" w14:textId="77777777" w:rsidR="008D72B6" w:rsidRPr="000F3486" w:rsidRDefault="008D72B6" w:rsidP="008D72B6">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xml:space="preserve">) </w:t>
      </w:r>
      <w:hyperlink r:id="rId1" w:history="1">
        <w:r w:rsidRPr="000F3486">
          <w:rPr>
            <w:rStyle w:val="Hyperlink1"/>
            <w:rFonts w:ascii="Times New Roman" w:hAnsi="Times New Roman" w:cs="Times New Roman"/>
          </w:rPr>
          <w:t>Management Board Decision 51/2021, Technical Standards for Aerial Equipment</w:t>
        </w:r>
      </w:hyperlink>
      <w:r w:rsidRPr="000F3486">
        <w:rPr>
          <w:rFonts w:ascii="Times New Roman" w:hAnsi="Times New Roman" w:cs="Times New Roman"/>
        </w:rPr>
        <w:t>, TS-2021-002: 1) PDF – TT-09-21-346-EN-N; ISBN 978-92-9467-033-5; doi: 10.2819/966225. 2) FPI – 21.0078</w:t>
      </w:r>
    </w:p>
  </w:footnote>
  <w:footnote w:id="3">
    <w:p w14:paraId="15CE6B74" w14:textId="77777777" w:rsidR="00D777FC" w:rsidRPr="000F3486" w:rsidRDefault="00D777FC" w:rsidP="00D777FC">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xml:space="preserve">) </w:t>
      </w:r>
      <w:hyperlink r:id="rId2" w:history="1">
        <w:r w:rsidRPr="000F3486">
          <w:rPr>
            <w:rStyle w:val="Hipersaitas"/>
            <w:rFonts w:ascii="Times New Roman" w:hAnsi="Times New Roman" w:cs="Times New Roman"/>
          </w:rPr>
          <w:t>Management Board Decision 51/2021, Technical Standards for Maritime Equipment</w:t>
        </w:r>
      </w:hyperlink>
      <w:r w:rsidRPr="000F3486">
        <w:rPr>
          <w:rFonts w:ascii="Times New Roman" w:hAnsi="Times New Roman" w:cs="Times New Roman"/>
        </w:rPr>
        <w:t>, TS-2021-001: 1) PDF – TT-05-21-248-EN-N; ISBN 978-92-9467-034-2; doi: 10.2819/54958. 2) FPI – 21.0079</w:t>
      </w:r>
    </w:p>
  </w:footnote>
  <w:footnote w:id="4">
    <w:p w14:paraId="76666CA4" w14:textId="77777777" w:rsidR="00AA3DA9" w:rsidRPr="000F3486" w:rsidRDefault="00AA3DA9" w:rsidP="00AA3DA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EN 12464-1:2021 Light and Lighting - Lighting of Work Places - Part 1: Indoor Work Places</w:t>
      </w:r>
    </w:p>
  </w:footnote>
  <w:footnote w:id="5">
    <w:p w14:paraId="5262BB40" w14:textId="77777777" w:rsidR="00AA3DA9" w:rsidRPr="000F3486" w:rsidRDefault="00AA3DA9" w:rsidP="00AA3DA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xml:space="preserve">) Council Directive </w:t>
      </w:r>
      <w:hyperlink r:id="rId3" w:history="1">
        <w:r w:rsidRPr="000F3486">
          <w:rPr>
            <w:rStyle w:val="Hipersaitas"/>
            <w:rFonts w:ascii="Times New Roman" w:hAnsi="Times New Roman" w:cs="Times New Roman"/>
          </w:rPr>
          <w:t>89/391/EEC</w:t>
        </w:r>
      </w:hyperlink>
      <w:r w:rsidRPr="000F3486">
        <w:rPr>
          <w:rFonts w:ascii="Times New Roman" w:hAnsi="Times New Roman" w:cs="Times New Roman"/>
        </w:rPr>
        <w:t xml:space="preserve"> on the introduction of measures to encourage improvements in the safety and health of workers at work</w:t>
      </w:r>
    </w:p>
  </w:footnote>
  <w:footnote w:id="6">
    <w:p w14:paraId="30B660D7" w14:textId="77777777" w:rsidR="00AA3DA9" w:rsidRPr="000F3486" w:rsidRDefault="00AA3DA9" w:rsidP="00AA3DA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6385:2016 Ergonomics Principles in the Design of Work Systems</w:t>
      </w:r>
    </w:p>
  </w:footnote>
  <w:footnote w:id="7">
    <w:p w14:paraId="5FADE2BC" w14:textId="77777777" w:rsidR="00AA3DA9" w:rsidRPr="000F3486" w:rsidRDefault="00AA3DA9" w:rsidP="00AA3DA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DEF-STAN 00-25 Human Factors for Designers of Equipment</w:t>
      </w:r>
    </w:p>
  </w:footnote>
  <w:footnote w:id="8">
    <w:p w14:paraId="123340DF" w14:textId="77777777" w:rsidR="009C1185" w:rsidRPr="000F3486" w:rsidRDefault="009C1185" w:rsidP="009C1185">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DEF-STAN 00-35 Environmental Handbook for Defence Materiel</w:t>
      </w:r>
    </w:p>
  </w:footnote>
  <w:footnote w:id="9">
    <w:p w14:paraId="76389A8B" w14:textId="77777777" w:rsidR="002C4AF6" w:rsidRPr="000F3486" w:rsidRDefault="002C4AF6" w:rsidP="002C4AF6">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MIL-STD 464 Electromagnetic Environmental Effects – Requirements for Systems</w:t>
      </w:r>
    </w:p>
  </w:footnote>
  <w:footnote w:id="10">
    <w:p w14:paraId="46FB490C" w14:textId="77777777" w:rsidR="00FC7AB0" w:rsidRPr="000F3486" w:rsidRDefault="00FC7AB0" w:rsidP="00FC7AB0">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Management Board Decision 16/2024 on the Approval of the Capability Roadmap of the European Border and Coast Guard: (</w:t>
      </w:r>
      <w:hyperlink r:id="rId4" w:history="1">
        <w:r w:rsidRPr="000F3486">
          <w:rPr>
            <w:rStyle w:val="Hipersaitas"/>
            <w:rFonts w:ascii="Times New Roman" w:hAnsi="Times New Roman" w:cs="Times New Roman"/>
          </w:rPr>
          <w:t>https://prd.frontex.europa.eu/wp-content/uploads/mb-decision-16_2024_capability-roadmap-of-the-ebcg-1.pdf</w:t>
        </w:r>
      </w:hyperlink>
      <w:r w:rsidRPr="000F3486">
        <w:rPr>
          <w:rFonts w:ascii="Times New Roman" w:hAnsi="Times New Roman" w:cs="Times New Roman"/>
        </w:rPr>
        <w:t>): Doctrine, Policies, and Concepts; Culture, Organisation, and Leadership; Science, Technology, and Innovation; Personnel, Competencies, and Learning; Equipment, Systems, and Support; Logistics, Facilities, and Infrastructure; Safety, Security, and Health; Interoperability, Architectures, and Standards.</w:t>
      </w:r>
    </w:p>
  </w:footnote>
  <w:footnote w:id="11">
    <w:p w14:paraId="61440C7C" w14:textId="77777777" w:rsidR="00742F75" w:rsidRPr="000F3486" w:rsidRDefault="00742F75" w:rsidP="00742F75">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Economic Appraisal Vademecum 2021-2027 – General Principles and Sector Applications (https://ec.europa.eu/regional_policy/sources/guides/vademecum_2127/vademecum_2127_en.pdf)</w:t>
      </w:r>
    </w:p>
  </w:footnote>
  <w:footnote w:id="12">
    <w:p w14:paraId="040AF4CB" w14:textId="77777777" w:rsidR="00111C97" w:rsidRPr="000F3486" w:rsidRDefault="00111C97" w:rsidP="00111C97">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15288 Systems and Software Engineering – System Life Cycle Process</w:t>
      </w:r>
    </w:p>
  </w:footnote>
  <w:footnote w:id="13">
    <w:p w14:paraId="335DB06A" w14:textId="77777777" w:rsidR="00111C97" w:rsidRPr="000F3486" w:rsidRDefault="00111C97" w:rsidP="00111C97">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TR-SAS-054 Methods and Models for Life Cycle Costing</w:t>
      </w:r>
    </w:p>
  </w:footnote>
  <w:footnote w:id="14">
    <w:p w14:paraId="6CC7DED4" w14:textId="77777777" w:rsidR="00C627C2" w:rsidRPr="000F3486" w:rsidRDefault="00C627C2" w:rsidP="00C627C2">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9001 – Quality Management System</w:t>
      </w:r>
    </w:p>
  </w:footnote>
  <w:footnote w:id="15">
    <w:p w14:paraId="1D68F99E"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20400 - Sustainable Procurement — Guidance</w:t>
      </w:r>
    </w:p>
  </w:footnote>
  <w:footnote w:id="16">
    <w:p w14:paraId="5F3CDDF7"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ISO/IEC/IEEE 24748-1:2024 Systems and Software Engineering — Life Cycle Management</w:t>
      </w:r>
    </w:p>
  </w:footnote>
  <w:footnote w:id="17">
    <w:p w14:paraId="3D1C3615"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14001 – Environmental Management Systems</w:t>
      </w:r>
    </w:p>
  </w:footnote>
  <w:footnote w:id="18">
    <w:p w14:paraId="7E5385F0"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14090 – Adaptation to Climate Change</w:t>
      </w:r>
    </w:p>
  </w:footnote>
  <w:footnote w:id="19">
    <w:p w14:paraId="65463EDF"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26000 – Social Responsibility</w:t>
      </w:r>
    </w:p>
  </w:footnote>
  <w:footnote w:id="20">
    <w:p w14:paraId="52E6E66C" w14:textId="77777777" w:rsidR="008A700D" w:rsidRPr="000F3486" w:rsidRDefault="008A700D" w:rsidP="008A700D">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500001 – Energy Management</w:t>
      </w:r>
    </w:p>
  </w:footnote>
  <w:footnote w:id="21">
    <w:p w14:paraId="41C34D48" w14:textId="77777777" w:rsidR="00A53FD7" w:rsidRPr="000F3486" w:rsidRDefault="00A53FD7" w:rsidP="00A53FD7">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SMS Standard (SM-0001) - International Industry Standard Implementing a Safety Management System in Design, Manufacturing &amp; Maintenance Organisations</w:t>
      </w:r>
    </w:p>
  </w:footnote>
  <w:footnote w:id="22">
    <w:p w14:paraId="7C788816" w14:textId="77777777" w:rsidR="00A53FD7" w:rsidRPr="000F3486" w:rsidRDefault="00A53FD7" w:rsidP="00A53FD7">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MIL-STD-882 - System Safety</w:t>
      </w:r>
    </w:p>
  </w:footnote>
  <w:footnote w:id="23">
    <w:p w14:paraId="3709B864" w14:textId="77777777" w:rsidR="00A53FD7" w:rsidRPr="000F3486" w:rsidRDefault="00A53FD7" w:rsidP="00A53FD7">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HSystSäk - Handbook System Safety</w:t>
      </w:r>
    </w:p>
  </w:footnote>
  <w:footnote w:id="24">
    <w:p w14:paraId="3FE00C7E" w14:textId="77777777" w:rsidR="0075344F" w:rsidRPr="000F3486" w:rsidRDefault="0075344F" w:rsidP="0075344F">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45000 Occupational Health and Safety</w:t>
      </w:r>
    </w:p>
  </w:footnote>
  <w:footnote w:id="25">
    <w:p w14:paraId="71E84B3F" w14:textId="77777777" w:rsidR="00A14739" w:rsidRPr="000F3486" w:rsidRDefault="00A14739" w:rsidP="00A1473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Regulation (EU) 2019/947 on the Rules and Procedures for the Operation of Unmanned Aircraft</w:t>
      </w:r>
    </w:p>
  </w:footnote>
  <w:footnote w:id="26">
    <w:p w14:paraId="779BA9B8" w14:textId="77777777" w:rsidR="00A14739" w:rsidRPr="000F3486" w:rsidRDefault="00A14739" w:rsidP="00A1473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Regulation (EU) 2019/945 on Unmanned Aircraft Systems and Third Country Operators of Unmanned Aircraft Systems</w:t>
      </w:r>
    </w:p>
  </w:footnote>
  <w:footnote w:id="27">
    <w:p w14:paraId="29CADF2C" w14:textId="77777777" w:rsidR="00A14739" w:rsidRPr="000F3486" w:rsidRDefault="00A14739" w:rsidP="00A1473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17717 Meteorological Balloons</w:t>
      </w:r>
    </w:p>
  </w:footnote>
  <w:footnote w:id="28">
    <w:p w14:paraId="66E0610A" w14:textId="77777777" w:rsidR="00A14739" w:rsidRPr="000F3486" w:rsidRDefault="00A14739" w:rsidP="00A14739">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ISO 21384-3 Unmanned Aircraft Systems</w:t>
      </w:r>
    </w:p>
  </w:footnote>
  <w:footnote w:id="29">
    <w:p w14:paraId="36C00E32" w14:textId="77777777" w:rsidR="009B68CC" w:rsidRPr="000F3486" w:rsidRDefault="009B68CC" w:rsidP="009B68CC">
      <w:pPr>
        <w:pStyle w:val="Puslapioinaostekstas"/>
        <w:rPr>
          <w:rFonts w:ascii="Times New Roman" w:hAnsi="Times New Roman" w:cs="Times New Roman"/>
        </w:rPr>
      </w:pPr>
      <w:r w:rsidRPr="000F3486">
        <w:rPr>
          <w:rFonts w:ascii="Times New Roman" w:hAnsi="Times New Roman" w:cs="Times New Roman"/>
        </w:rPr>
        <w:t>(</w:t>
      </w:r>
      <w:r w:rsidRPr="000F3486">
        <w:rPr>
          <w:rStyle w:val="Puslapioinaosnuoroda"/>
          <w:rFonts w:ascii="Times New Roman" w:hAnsi="Times New Roman" w:cs="Times New Roman"/>
        </w:rPr>
        <w:footnoteRef/>
      </w:r>
      <w:r w:rsidRPr="000F3486">
        <w:rPr>
          <w:rFonts w:ascii="Times New Roman" w:hAnsi="Times New Roman" w:cs="Times New Roman"/>
        </w:rPr>
        <w:t>) Directive (EU) 2016/1148 of the European Parliament and the Council of 6 July 2016 Concerning Measures for a High Common Level of Security of Network and Information Systems Across the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E831" w14:textId="77777777" w:rsidR="003A14EF" w:rsidRDefault="003A14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1BC" w14:textId="77777777" w:rsidR="003A14EF" w:rsidRDefault="003A14E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FBDA" w14:textId="77777777" w:rsidR="003A14EF" w:rsidRDefault="003A14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CBF"/>
    <w:multiLevelType w:val="multilevel"/>
    <w:tmpl w:val="84785336"/>
    <w:lvl w:ilvl="0">
      <w:start w:val="1"/>
      <w:numFmt w:val="bullet"/>
      <w:lvlText w:val=""/>
      <w:lvlJc w:val="left"/>
      <w:pPr>
        <w:ind w:left="567" w:hanging="567"/>
      </w:pPr>
      <w:rPr>
        <w:rFonts w:ascii="Symbol" w:hAnsi="Symbol" w:hint="default"/>
      </w:rPr>
    </w:lvl>
    <w:lvl w:ilvl="1">
      <w:start w:val="1"/>
      <w:numFmt w:val="bullet"/>
      <w:lvlText w:val="o"/>
      <w:lvlJc w:val="left"/>
      <w:pPr>
        <w:ind w:left="927" w:hanging="360"/>
      </w:pPr>
      <w:rPr>
        <w:rFonts w:ascii="Courier New" w:hAnsi="Courier New" w:cs="Courier New" w:hint="default"/>
      </w:rPr>
    </w:lvl>
    <w:lvl w:ilvl="2">
      <w:start w:val="1"/>
      <w:numFmt w:val="decimal"/>
      <w:lvlText w:val="%1.%2.%3"/>
      <w:lvlJc w:val="left"/>
      <w:pPr>
        <w:ind w:left="-32766" w:hanging="31636"/>
      </w:pPr>
      <w:rPr>
        <w:rFonts w:hint="default"/>
      </w:rPr>
    </w:lvl>
    <w:lvl w:ilvl="3">
      <w:start w:val="1"/>
      <w:numFmt w:val="decimal"/>
      <w:lvlText w:val="%4%1.%2.%3."/>
      <w:lvlJc w:val="left"/>
      <w:pPr>
        <w:ind w:left="1701" w:firstLine="31069"/>
      </w:pPr>
      <w:rPr>
        <w:rFonts w:hint="default"/>
      </w:rPr>
    </w:lvl>
    <w:lvl w:ilvl="4">
      <w:start w:val="1"/>
      <w:numFmt w:val="bullet"/>
      <w:lvlText w:val="o"/>
      <w:lvlJc w:val="left"/>
      <w:pPr>
        <w:ind w:left="4802" w:hanging="360"/>
      </w:pPr>
      <w:rPr>
        <w:rFonts w:ascii="Courier New" w:hAnsi="Courier New" w:cs="Courier New" w:hint="default"/>
      </w:rPr>
    </w:lvl>
    <w:lvl w:ilvl="5">
      <w:start w:val="1"/>
      <w:numFmt w:val="bullet"/>
      <w:lvlText w:val=""/>
      <w:lvlJc w:val="left"/>
      <w:pPr>
        <w:ind w:left="5522" w:hanging="360"/>
      </w:pPr>
      <w:rPr>
        <w:rFonts w:ascii="Wingdings" w:hAnsi="Wingdings" w:hint="default"/>
      </w:rPr>
    </w:lvl>
    <w:lvl w:ilvl="6">
      <w:start w:val="1"/>
      <w:numFmt w:val="bullet"/>
      <w:lvlText w:val=""/>
      <w:lvlJc w:val="left"/>
      <w:pPr>
        <w:ind w:left="6242" w:hanging="360"/>
      </w:pPr>
      <w:rPr>
        <w:rFonts w:ascii="Symbol" w:hAnsi="Symbol" w:hint="default"/>
      </w:rPr>
    </w:lvl>
    <w:lvl w:ilvl="7">
      <w:start w:val="1"/>
      <w:numFmt w:val="bullet"/>
      <w:lvlText w:val="o"/>
      <w:lvlJc w:val="left"/>
      <w:pPr>
        <w:ind w:left="6962" w:hanging="360"/>
      </w:pPr>
      <w:rPr>
        <w:rFonts w:ascii="Courier New" w:hAnsi="Courier New" w:cs="Courier New" w:hint="default"/>
      </w:rPr>
    </w:lvl>
    <w:lvl w:ilvl="8">
      <w:start w:val="1"/>
      <w:numFmt w:val="bullet"/>
      <w:lvlText w:val=""/>
      <w:lvlJc w:val="left"/>
      <w:pPr>
        <w:ind w:left="7682" w:hanging="360"/>
      </w:pPr>
      <w:rPr>
        <w:rFonts w:ascii="Wingdings" w:hAnsi="Wingdings" w:hint="default"/>
      </w:rPr>
    </w:lvl>
  </w:abstractNum>
  <w:abstractNum w:abstractNumId="1" w15:restartNumberingAfterBreak="0">
    <w:nsid w:val="287F5A47"/>
    <w:multiLevelType w:val="hybridMultilevel"/>
    <w:tmpl w:val="61B847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26E6B"/>
    <w:multiLevelType w:val="hybridMultilevel"/>
    <w:tmpl w:val="14FEB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E63F0"/>
    <w:multiLevelType w:val="hybridMultilevel"/>
    <w:tmpl w:val="6E262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00D2C"/>
    <w:multiLevelType w:val="hybridMultilevel"/>
    <w:tmpl w:val="5EF43A78"/>
    <w:lvl w:ilvl="0" w:tplc="704212DA">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75365"/>
    <w:multiLevelType w:val="hybridMultilevel"/>
    <w:tmpl w:val="14125B70"/>
    <w:lvl w:ilvl="0" w:tplc="04090003">
      <w:start w:val="1"/>
      <w:numFmt w:val="bullet"/>
      <w:lvlText w:val="o"/>
      <w:lvlJc w:val="left"/>
      <w:pPr>
        <w:ind w:left="927" w:hanging="360"/>
      </w:pPr>
      <w:rPr>
        <w:rFonts w:ascii="Courier New" w:hAnsi="Courier New" w:cs="Courier New"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6" w15:restartNumberingAfterBreak="0">
    <w:nsid w:val="71951EB6"/>
    <w:multiLevelType w:val="hybridMultilevel"/>
    <w:tmpl w:val="A196846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2FC0EF5"/>
    <w:multiLevelType w:val="hybridMultilevel"/>
    <w:tmpl w:val="00C6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0271488">
    <w:abstractNumId w:val="6"/>
  </w:num>
  <w:num w:numId="2" w16cid:durableId="565260021">
    <w:abstractNumId w:val="0"/>
  </w:num>
  <w:num w:numId="3" w16cid:durableId="935288592">
    <w:abstractNumId w:val="5"/>
  </w:num>
  <w:num w:numId="4" w16cid:durableId="1689716932">
    <w:abstractNumId w:val="7"/>
  </w:num>
  <w:num w:numId="5" w16cid:durableId="1657416677">
    <w:abstractNumId w:val="3"/>
  </w:num>
  <w:num w:numId="6" w16cid:durableId="1623724688">
    <w:abstractNumId w:val="2"/>
  </w:num>
  <w:num w:numId="7" w16cid:durableId="2032102935">
    <w:abstractNumId w:val="1"/>
  </w:num>
  <w:num w:numId="8" w16cid:durableId="1177773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37AB3"/>
    <w:rsid w:val="00003D51"/>
    <w:rsid w:val="00005EE5"/>
    <w:rsid w:val="000124E5"/>
    <w:rsid w:val="0001515A"/>
    <w:rsid w:val="00020A2E"/>
    <w:rsid w:val="000264B3"/>
    <w:rsid w:val="00066936"/>
    <w:rsid w:val="000830CB"/>
    <w:rsid w:val="00095323"/>
    <w:rsid w:val="000B0078"/>
    <w:rsid w:val="000C2A99"/>
    <w:rsid w:val="000C3C80"/>
    <w:rsid w:val="000E4ABF"/>
    <w:rsid w:val="000E75DA"/>
    <w:rsid w:val="000F2ED2"/>
    <w:rsid w:val="000F3486"/>
    <w:rsid w:val="000F4504"/>
    <w:rsid w:val="00104F80"/>
    <w:rsid w:val="00111C97"/>
    <w:rsid w:val="00136550"/>
    <w:rsid w:val="001459F1"/>
    <w:rsid w:val="001663E6"/>
    <w:rsid w:val="0017115C"/>
    <w:rsid w:val="0018027D"/>
    <w:rsid w:val="001A5625"/>
    <w:rsid w:val="001A6B02"/>
    <w:rsid w:val="001E4DDE"/>
    <w:rsid w:val="001F4B91"/>
    <w:rsid w:val="00211AA1"/>
    <w:rsid w:val="00213A3C"/>
    <w:rsid w:val="00230F03"/>
    <w:rsid w:val="00237F2A"/>
    <w:rsid w:val="00244340"/>
    <w:rsid w:val="00250F8D"/>
    <w:rsid w:val="00252D39"/>
    <w:rsid w:val="002539C5"/>
    <w:rsid w:val="00257C9E"/>
    <w:rsid w:val="00260118"/>
    <w:rsid w:val="00260435"/>
    <w:rsid w:val="0028054D"/>
    <w:rsid w:val="002900EE"/>
    <w:rsid w:val="002A67F3"/>
    <w:rsid w:val="002C1AE6"/>
    <w:rsid w:val="002C4AF6"/>
    <w:rsid w:val="0030416D"/>
    <w:rsid w:val="003068CD"/>
    <w:rsid w:val="00306B52"/>
    <w:rsid w:val="00312C9C"/>
    <w:rsid w:val="003243A0"/>
    <w:rsid w:val="00326373"/>
    <w:rsid w:val="00333D88"/>
    <w:rsid w:val="00334637"/>
    <w:rsid w:val="003428F9"/>
    <w:rsid w:val="003474D3"/>
    <w:rsid w:val="00355493"/>
    <w:rsid w:val="00367599"/>
    <w:rsid w:val="00377E02"/>
    <w:rsid w:val="00381FDC"/>
    <w:rsid w:val="0039061A"/>
    <w:rsid w:val="003A14EF"/>
    <w:rsid w:val="0041208E"/>
    <w:rsid w:val="00416438"/>
    <w:rsid w:val="0041728D"/>
    <w:rsid w:val="00430B73"/>
    <w:rsid w:val="004340E8"/>
    <w:rsid w:val="00451BF8"/>
    <w:rsid w:val="00490344"/>
    <w:rsid w:val="004925FC"/>
    <w:rsid w:val="0049591D"/>
    <w:rsid w:val="004A3087"/>
    <w:rsid w:val="004A31AA"/>
    <w:rsid w:val="004A4666"/>
    <w:rsid w:val="004C1352"/>
    <w:rsid w:val="004E3442"/>
    <w:rsid w:val="004E675D"/>
    <w:rsid w:val="00512D49"/>
    <w:rsid w:val="005264CC"/>
    <w:rsid w:val="0056398A"/>
    <w:rsid w:val="0056799D"/>
    <w:rsid w:val="00567A1D"/>
    <w:rsid w:val="00577CAC"/>
    <w:rsid w:val="005802D4"/>
    <w:rsid w:val="00581BD3"/>
    <w:rsid w:val="005955FA"/>
    <w:rsid w:val="00597BCE"/>
    <w:rsid w:val="005A0287"/>
    <w:rsid w:val="005A6390"/>
    <w:rsid w:val="005C0E3C"/>
    <w:rsid w:val="005C209C"/>
    <w:rsid w:val="005C37A0"/>
    <w:rsid w:val="005C6933"/>
    <w:rsid w:val="005E1262"/>
    <w:rsid w:val="005E2009"/>
    <w:rsid w:val="005E315A"/>
    <w:rsid w:val="005E4F2D"/>
    <w:rsid w:val="005F17F4"/>
    <w:rsid w:val="00615003"/>
    <w:rsid w:val="006153D7"/>
    <w:rsid w:val="006206EB"/>
    <w:rsid w:val="006220D2"/>
    <w:rsid w:val="00637AB3"/>
    <w:rsid w:val="0065602E"/>
    <w:rsid w:val="00671D0F"/>
    <w:rsid w:val="00683526"/>
    <w:rsid w:val="006961AF"/>
    <w:rsid w:val="00696AA7"/>
    <w:rsid w:val="00696B33"/>
    <w:rsid w:val="006A0C7F"/>
    <w:rsid w:val="006A1D73"/>
    <w:rsid w:val="006A3AE3"/>
    <w:rsid w:val="006B41E7"/>
    <w:rsid w:val="006C489C"/>
    <w:rsid w:val="006D2E92"/>
    <w:rsid w:val="007123D8"/>
    <w:rsid w:val="00716525"/>
    <w:rsid w:val="00730C70"/>
    <w:rsid w:val="00742F75"/>
    <w:rsid w:val="00747486"/>
    <w:rsid w:val="0075344F"/>
    <w:rsid w:val="0075704E"/>
    <w:rsid w:val="00761A75"/>
    <w:rsid w:val="0076288E"/>
    <w:rsid w:val="00772F56"/>
    <w:rsid w:val="007761F3"/>
    <w:rsid w:val="00776E83"/>
    <w:rsid w:val="00782F40"/>
    <w:rsid w:val="007A36EA"/>
    <w:rsid w:val="007B156D"/>
    <w:rsid w:val="007C1287"/>
    <w:rsid w:val="007C6277"/>
    <w:rsid w:val="007F074D"/>
    <w:rsid w:val="0080639F"/>
    <w:rsid w:val="008111BB"/>
    <w:rsid w:val="00824D8D"/>
    <w:rsid w:val="0083003B"/>
    <w:rsid w:val="0083601C"/>
    <w:rsid w:val="00865705"/>
    <w:rsid w:val="00866778"/>
    <w:rsid w:val="00870DD2"/>
    <w:rsid w:val="00870F48"/>
    <w:rsid w:val="00876E05"/>
    <w:rsid w:val="0088499E"/>
    <w:rsid w:val="00887369"/>
    <w:rsid w:val="00887E9E"/>
    <w:rsid w:val="0089275E"/>
    <w:rsid w:val="008A700D"/>
    <w:rsid w:val="008B5808"/>
    <w:rsid w:val="008C1F9C"/>
    <w:rsid w:val="008C2E42"/>
    <w:rsid w:val="008C500C"/>
    <w:rsid w:val="008D72B6"/>
    <w:rsid w:val="0090313A"/>
    <w:rsid w:val="0091752B"/>
    <w:rsid w:val="00920F79"/>
    <w:rsid w:val="0092712D"/>
    <w:rsid w:val="009459E5"/>
    <w:rsid w:val="00957564"/>
    <w:rsid w:val="00987E3C"/>
    <w:rsid w:val="009B68CC"/>
    <w:rsid w:val="009B7618"/>
    <w:rsid w:val="009C1185"/>
    <w:rsid w:val="009C48DB"/>
    <w:rsid w:val="009C7136"/>
    <w:rsid w:val="009E3875"/>
    <w:rsid w:val="009F2C3F"/>
    <w:rsid w:val="00A14739"/>
    <w:rsid w:val="00A52EC9"/>
    <w:rsid w:val="00A53FD7"/>
    <w:rsid w:val="00A64435"/>
    <w:rsid w:val="00A95558"/>
    <w:rsid w:val="00AA3DA9"/>
    <w:rsid w:val="00AB5303"/>
    <w:rsid w:val="00AB561B"/>
    <w:rsid w:val="00AD4644"/>
    <w:rsid w:val="00AD471A"/>
    <w:rsid w:val="00AE7B62"/>
    <w:rsid w:val="00AF0EBB"/>
    <w:rsid w:val="00B13698"/>
    <w:rsid w:val="00B16F2D"/>
    <w:rsid w:val="00B20D17"/>
    <w:rsid w:val="00B30F82"/>
    <w:rsid w:val="00B34B74"/>
    <w:rsid w:val="00B37C8A"/>
    <w:rsid w:val="00B43118"/>
    <w:rsid w:val="00B73F3E"/>
    <w:rsid w:val="00B85732"/>
    <w:rsid w:val="00BA6ABE"/>
    <w:rsid w:val="00BC5E7F"/>
    <w:rsid w:val="00BD5C13"/>
    <w:rsid w:val="00BF0530"/>
    <w:rsid w:val="00BF3A04"/>
    <w:rsid w:val="00BF4348"/>
    <w:rsid w:val="00BF6E6E"/>
    <w:rsid w:val="00C069D6"/>
    <w:rsid w:val="00C400F6"/>
    <w:rsid w:val="00C627C2"/>
    <w:rsid w:val="00C86989"/>
    <w:rsid w:val="00CA6803"/>
    <w:rsid w:val="00CB1BF4"/>
    <w:rsid w:val="00CF072B"/>
    <w:rsid w:val="00D219EA"/>
    <w:rsid w:val="00D6397A"/>
    <w:rsid w:val="00D7397C"/>
    <w:rsid w:val="00D7466D"/>
    <w:rsid w:val="00D777FC"/>
    <w:rsid w:val="00D83B38"/>
    <w:rsid w:val="00D914C1"/>
    <w:rsid w:val="00D914E8"/>
    <w:rsid w:val="00DA3B8D"/>
    <w:rsid w:val="00DB2A8B"/>
    <w:rsid w:val="00DB6793"/>
    <w:rsid w:val="00DB733A"/>
    <w:rsid w:val="00DB7FC3"/>
    <w:rsid w:val="00DD2090"/>
    <w:rsid w:val="00DE6FE6"/>
    <w:rsid w:val="00DF3953"/>
    <w:rsid w:val="00E00E5E"/>
    <w:rsid w:val="00E017E5"/>
    <w:rsid w:val="00E11746"/>
    <w:rsid w:val="00E1291F"/>
    <w:rsid w:val="00E1464D"/>
    <w:rsid w:val="00E242D9"/>
    <w:rsid w:val="00E33F26"/>
    <w:rsid w:val="00E370F5"/>
    <w:rsid w:val="00E54CE0"/>
    <w:rsid w:val="00E5646F"/>
    <w:rsid w:val="00E700C0"/>
    <w:rsid w:val="00E7075A"/>
    <w:rsid w:val="00E82569"/>
    <w:rsid w:val="00EA0F08"/>
    <w:rsid w:val="00EB28C2"/>
    <w:rsid w:val="00F05392"/>
    <w:rsid w:val="00F11583"/>
    <w:rsid w:val="00F16E3A"/>
    <w:rsid w:val="00F23122"/>
    <w:rsid w:val="00F232AB"/>
    <w:rsid w:val="00F2590E"/>
    <w:rsid w:val="00F36537"/>
    <w:rsid w:val="00F624D3"/>
    <w:rsid w:val="00F905F4"/>
    <w:rsid w:val="00F9391D"/>
    <w:rsid w:val="00FA0840"/>
    <w:rsid w:val="00FA1313"/>
    <w:rsid w:val="00FB3560"/>
    <w:rsid w:val="00FC140F"/>
    <w:rsid w:val="00FC36EE"/>
    <w:rsid w:val="00FC7AB0"/>
    <w:rsid w:val="00FE1EBF"/>
    <w:rsid w:val="1297AA0B"/>
    <w:rsid w:val="626F6AC2"/>
    <w:rsid w:val="6D0636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81558"/>
  <w15:chartTrackingRefBased/>
  <w15:docId w15:val="{04E9286A-DB7D-4250-96F9-E33A86B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7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7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7A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7A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7A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37A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7A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7A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7A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A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7A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7A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7A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7A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37A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7A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7A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7A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7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7A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A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7A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7A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7AB3"/>
    <w:rPr>
      <w:i/>
      <w:iCs/>
      <w:color w:val="404040" w:themeColor="text1" w:themeTint="BF"/>
    </w:rPr>
  </w:style>
  <w:style w:type="paragraph" w:styleId="Sraopastraipa">
    <w:name w:val="List Paragraph"/>
    <w:aliases w:val="Bullets,F5 List Paragraph,List Paragraph1,Dot pt,No Spacing1,List Paragraph Char Char Char,Indicator Text,Colorful List - Accent 11,Numbered Para 1,Bullet 1,Bullet Points,MAIN CONTENT,List Paragraph2,Normal numbered,List Paragraph11,L"/>
    <w:basedOn w:val="prastasis"/>
    <w:link w:val="SraopastraipaDiagrama"/>
    <w:uiPriority w:val="34"/>
    <w:qFormat/>
    <w:rsid w:val="00637AB3"/>
    <w:pPr>
      <w:ind w:left="720"/>
      <w:contextualSpacing/>
    </w:pPr>
  </w:style>
  <w:style w:type="character" w:styleId="Rykuspabraukimas">
    <w:name w:val="Intense Emphasis"/>
    <w:basedOn w:val="Numatytasispastraiposriftas"/>
    <w:uiPriority w:val="21"/>
    <w:qFormat/>
    <w:rsid w:val="00637AB3"/>
    <w:rPr>
      <w:i/>
      <w:iCs/>
      <w:color w:val="0F4761" w:themeColor="accent1" w:themeShade="BF"/>
    </w:rPr>
  </w:style>
  <w:style w:type="paragraph" w:styleId="Iskirtacitata">
    <w:name w:val="Intense Quote"/>
    <w:basedOn w:val="prastasis"/>
    <w:next w:val="prastasis"/>
    <w:link w:val="IskirtacitataDiagrama"/>
    <w:uiPriority w:val="30"/>
    <w:qFormat/>
    <w:rsid w:val="00637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7AB3"/>
    <w:rPr>
      <w:i/>
      <w:iCs/>
      <w:color w:val="0F4761" w:themeColor="accent1" w:themeShade="BF"/>
    </w:rPr>
  </w:style>
  <w:style w:type="character" w:styleId="Rykinuoroda">
    <w:name w:val="Intense Reference"/>
    <w:basedOn w:val="Numatytasispastraiposriftas"/>
    <w:uiPriority w:val="32"/>
    <w:qFormat/>
    <w:rsid w:val="00637AB3"/>
    <w:rPr>
      <w:b/>
      <w:bCs/>
      <w:smallCaps/>
      <w:color w:val="0F4761" w:themeColor="accent1" w:themeShade="BF"/>
      <w:spacing w:val="5"/>
    </w:rPr>
  </w:style>
  <w:style w:type="paragraph" w:customStyle="1" w:styleId="Text4">
    <w:name w:val="Text 4"/>
    <w:basedOn w:val="prastasis"/>
    <w:qFormat/>
    <w:rsid w:val="000830CB"/>
    <w:pPr>
      <w:spacing w:after="240" w:line="240" w:lineRule="auto"/>
      <w:ind w:left="1202"/>
      <w:jc w:val="both"/>
    </w:pPr>
    <w:rPr>
      <w:rFonts w:ascii="Times New Roman" w:eastAsia="Times New Roman" w:hAnsi="Times New Roman" w:cs="Times New Roman"/>
      <w:kern w:val="0"/>
      <w:sz w:val="24"/>
      <w:szCs w:val="20"/>
      <w:lang w:eastAsia="en-IE"/>
      <w14:ligatures w14:val="none"/>
    </w:rPr>
  </w:style>
  <w:style w:type="character" w:customStyle="1" w:styleId="SraopastraipaDiagrama">
    <w:name w:val="Sąrašo pastraipa Diagrama"/>
    <w:aliases w:val="Bullets Diagrama,F5 List Paragraph Diagrama,List Paragraph1 Diagrama,Dot pt Diagrama,No Spacing1 Diagrama,List Paragraph Char Char Char Diagrama,Indicator Text Diagrama,Colorful List - Accent 11 Diagrama,Bullet 1 Diagrama"/>
    <w:link w:val="Sraopastraipa"/>
    <w:uiPriority w:val="34"/>
    <w:qFormat/>
    <w:locked/>
    <w:rsid w:val="000830CB"/>
  </w:style>
  <w:style w:type="paragraph" w:styleId="Pataisymai">
    <w:name w:val="Revision"/>
    <w:hidden/>
    <w:uiPriority w:val="99"/>
    <w:semiHidden/>
    <w:rsid w:val="00451BF8"/>
    <w:pPr>
      <w:spacing w:after="0" w:line="240" w:lineRule="auto"/>
    </w:pPr>
  </w:style>
  <w:style w:type="paragraph" w:styleId="Puslapioinaostekstas">
    <w:name w:val="footnote text"/>
    <w:basedOn w:val="prastasis"/>
    <w:link w:val="PuslapioinaostekstasDiagrama"/>
    <w:uiPriority w:val="99"/>
    <w:unhideWhenUsed/>
    <w:rsid w:val="008D72B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8D72B6"/>
    <w:rPr>
      <w:sz w:val="20"/>
      <w:szCs w:val="20"/>
    </w:rPr>
  </w:style>
  <w:style w:type="character" w:styleId="Puslapioinaosnuoroda">
    <w:name w:val="footnote reference"/>
    <w:aliases w:val="Footnote symbol,Footnote,BVI fnr,(Footnote Reference)"/>
    <w:uiPriority w:val="99"/>
    <w:rsid w:val="008D72B6"/>
    <w:rPr>
      <w:vertAlign w:val="superscript"/>
    </w:rPr>
  </w:style>
  <w:style w:type="character" w:customStyle="1" w:styleId="Hyperlink1">
    <w:name w:val="Hyperlink1"/>
    <w:basedOn w:val="Numatytasispastraiposriftas"/>
    <w:uiPriority w:val="99"/>
    <w:unhideWhenUsed/>
    <w:rsid w:val="008D72B6"/>
    <w:rPr>
      <w:color w:val="467886"/>
      <w:u w:val="single"/>
    </w:rPr>
  </w:style>
  <w:style w:type="character" w:styleId="Hipersaitas">
    <w:name w:val="Hyperlink"/>
    <w:basedOn w:val="Numatytasispastraiposriftas"/>
    <w:uiPriority w:val="99"/>
    <w:unhideWhenUsed/>
    <w:rsid w:val="008D72B6"/>
    <w:rPr>
      <w:color w:val="467886" w:themeColor="hyperlink"/>
      <w:u w:val="single"/>
    </w:rPr>
  </w:style>
  <w:style w:type="paragraph" w:styleId="Antrats">
    <w:name w:val="header"/>
    <w:basedOn w:val="prastasis"/>
    <w:link w:val="AntratsDiagrama"/>
    <w:uiPriority w:val="99"/>
    <w:unhideWhenUsed/>
    <w:rsid w:val="008D72B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D72B6"/>
  </w:style>
  <w:style w:type="paragraph" w:styleId="Porat">
    <w:name w:val="footer"/>
    <w:basedOn w:val="prastasis"/>
    <w:link w:val="PoratDiagrama"/>
    <w:uiPriority w:val="99"/>
    <w:unhideWhenUsed/>
    <w:rsid w:val="008D72B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D72B6"/>
  </w:style>
  <w:style w:type="paragraph" w:customStyle="1" w:styleId="Text2">
    <w:name w:val="Text 2"/>
    <w:basedOn w:val="prastasis"/>
    <w:qFormat/>
    <w:rsid w:val="009C48DB"/>
    <w:pPr>
      <w:spacing w:after="240" w:line="240" w:lineRule="auto"/>
      <w:ind w:left="1202"/>
      <w:jc w:val="both"/>
    </w:pPr>
    <w:rPr>
      <w:rFonts w:ascii="Times New Roman" w:eastAsia="Times New Roman" w:hAnsi="Times New Roman" w:cs="Times New Roman"/>
      <w:kern w:val="0"/>
      <w:sz w:val="24"/>
      <w:szCs w:val="20"/>
      <w:lang w:eastAsia="en-IE"/>
      <w14:ligatures w14:val="none"/>
    </w:rPr>
  </w:style>
  <w:style w:type="character" w:styleId="Komentaronuoroda">
    <w:name w:val="annotation reference"/>
    <w:basedOn w:val="Numatytasispastraiposriftas"/>
    <w:uiPriority w:val="99"/>
    <w:semiHidden/>
    <w:unhideWhenUsed/>
    <w:rsid w:val="00B34B74"/>
    <w:rPr>
      <w:sz w:val="16"/>
      <w:szCs w:val="16"/>
    </w:rPr>
  </w:style>
  <w:style w:type="paragraph" w:styleId="Komentarotekstas">
    <w:name w:val="annotation text"/>
    <w:basedOn w:val="prastasis"/>
    <w:link w:val="KomentarotekstasDiagrama"/>
    <w:uiPriority w:val="99"/>
    <w:unhideWhenUsed/>
    <w:rsid w:val="00B34B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4B74"/>
    <w:rPr>
      <w:sz w:val="20"/>
      <w:szCs w:val="20"/>
    </w:rPr>
  </w:style>
  <w:style w:type="paragraph" w:styleId="Komentarotema">
    <w:name w:val="annotation subject"/>
    <w:basedOn w:val="Komentarotekstas"/>
    <w:next w:val="Komentarotekstas"/>
    <w:link w:val="KomentarotemaDiagrama"/>
    <w:uiPriority w:val="99"/>
    <w:semiHidden/>
    <w:unhideWhenUsed/>
    <w:rsid w:val="00B34B74"/>
    <w:rPr>
      <w:b/>
      <w:bCs/>
    </w:rPr>
  </w:style>
  <w:style w:type="character" w:customStyle="1" w:styleId="KomentarotemaDiagrama">
    <w:name w:val="Komentaro tema Diagrama"/>
    <w:basedOn w:val="KomentarotekstasDiagrama"/>
    <w:link w:val="Komentarotema"/>
    <w:uiPriority w:val="99"/>
    <w:semiHidden/>
    <w:rsid w:val="00B34B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523132">
      <w:bodyDiv w:val="1"/>
      <w:marLeft w:val="0"/>
      <w:marRight w:val="0"/>
      <w:marTop w:val="0"/>
      <w:marBottom w:val="0"/>
      <w:divBdr>
        <w:top w:val="none" w:sz="0" w:space="0" w:color="auto"/>
        <w:left w:val="none" w:sz="0" w:space="0" w:color="auto"/>
        <w:bottom w:val="none" w:sz="0" w:space="0" w:color="auto"/>
        <w:right w:val="none" w:sz="0" w:space="0" w:color="auto"/>
      </w:divBdr>
    </w:div>
    <w:div w:id="20022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dir/1989/391/oj/eng" TargetMode="External"/><Relationship Id="rId2" Type="http://schemas.openxmlformats.org/officeDocument/2006/relationships/hyperlink" Target="https://prd.frontex.europa.eu/wp-content/uploads/mb_decision_51_2021_adopting_technical_standards_for_the_equipment_to_be_deployed_in_frontex_activities_opt.pdf" TargetMode="External"/><Relationship Id="rId1" Type="http://schemas.openxmlformats.org/officeDocument/2006/relationships/hyperlink" Target="https://prd.frontex.europa.eu/wp-content/uploads/mb_decision_51_2021_adopting_technical_standards_for_the_equipment_to_be_deployed_in_frontex_activities_opt.pdf" TargetMode="External"/><Relationship Id="rId4" Type="http://schemas.openxmlformats.org/officeDocument/2006/relationships/hyperlink" Target="https://prd.frontex.europa.eu/wp-content/uploads/mb-decision-16_2024_capability-roadmap-of-the-ebcg-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3402D47BFC9E408048E3E4C9BA96A1" ma:contentTypeVersion="3" ma:contentTypeDescription="Create a new document." ma:contentTypeScope="" ma:versionID="d454073f1e938bc18012a75d7b45269c">
  <xsd:schema xmlns:xsd="http://www.w3.org/2001/XMLSchema" xmlns:xs="http://www.w3.org/2001/XMLSchema" xmlns:p="http://schemas.microsoft.com/office/2006/metadata/properties" xmlns:ns2="8b270caf-2dc2-47a2-a714-dec3ccdae361" targetNamespace="http://schemas.microsoft.com/office/2006/metadata/properties" ma:root="true" ma:fieldsID="b5d50d33659b50af5163b09d0382dd58" ns2:_="">
    <xsd:import namespace="8b270caf-2dc2-47a2-a714-dec3ccdae3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70caf-2dc2-47a2-a714-dec3ccdae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A7EA-7144-4118-8946-958C6511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70caf-2dc2-47a2-a714-dec3ccdae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C8F47-49C4-483C-8824-303073367A82}">
  <ds:schemaRefs>
    <ds:schemaRef ds:uri="http://www.w3.org/XML/1998/namespace"/>
    <ds:schemaRef ds:uri="http://purl.org/dc/terms/"/>
    <ds:schemaRef ds:uri="http://schemas.microsoft.com/office/2006/metadata/properties"/>
    <ds:schemaRef ds:uri="8b270caf-2dc2-47a2-a714-dec3ccdae36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C8BA443B-F845-446D-9B7F-6A0A988F43DA}">
  <ds:schemaRefs>
    <ds:schemaRef ds:uri="http://schemas.microsoft.com/sharepoint/v3/contenttype/forms"/>
  </ds:schemaRefs>
</ds:datastoreItem>
</file>

<file path=customXml/itemProps4.xml><?xml version="1.0" encoding="utf-8"?>
<ds:datastoreItem xmlns:ds="http://schemas.openxmlformats.org/officeDocument/2006/customXml" ds:itemID="{64DC921D-2EAF-4A20-957F-3AF30FBF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17</Pages>
  <Words>9632</Words>
  <Characters>5491</Characters>
  <Application>Microsoft Office Word</Application>
  <DocSecurity>0</DocSecurity>
  <Lines>45</Lines>
  <Paragraphs>30</Paragraphs>
  <ScaleCrop>false</ScaleCrop>
  <Company>European Commission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BOFFA Michela (HOME)</dc:creator>
  <cp:keywords/>
  <dc:description/>
  <cp:lastModifiedBy>Agnė Sinkevičienė</cp:lastModifiedBy>
  <cp:revision>155</cp:revision>
  <dcterms:created xsi:type="dcterms:W3CDTF">2025-07-16T17:31:00Z</dcterms:created>
  <dcterms:modified xsi:type="dcterms:W3CDTF">2025-07-24T19:26:00Z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0x010100BD3402D47BFC9E408048E3E4C9BA96A1</vt:lpwstr>
  </property>
  <property fmtid="{D5CDD505-2E9C-101B-9397-08002B2CF9AE}" pid="3" name="MSIP_Label_6bd9ddd1-4d20-43f6-abfa-fc3c07406f94_Enabled">
    <vt:lpwstr>true</vt:lpwstr>
  </property>
  <property fmtid="{D5CDD505-2E9C-101B-9397-08002B2CF9AE}" pid="4" name="MSIP_Label_6bd9ddd1-4d20-43f6-abfa-fc3c07406f94_SetDate">
    <vt:lpwstr>2025-07-15T14:35:57Z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050322eb-9d2f-48af-8fbf-780ffc19869a</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Order">
    <vt:r8>5000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